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3A" w:rsidRPr="00582BA4" w:rsidRDefault="00BF1D3A" w:rsidP="00BF1D3A">
      <w:pPr>
        <w:spacing w:after="600"/>
        <w:jc w:val="center"/>
        <w:rPr>
          <w:rFonts w:ascii="Times New Roman" w:hAnsi="Times New Roman" w:cs="Times New Roman"/>
          <w:b/>
          <w:sz w:val="32"/>
          <w:szCs w:val="32"/>
        </w:rPr>
      </w:pPr>
      <w:r w:rsidRPr="00582BA4">
        <w:rPr>
          <w:rFonts w:ascii="Times New Roman" w:hAnsi="Times New Roman" w:cs="Times New Roman"/>
          <w:b/>
          <w:sz w:val="32"/>
          <w:szCs w:val="32"/>
        </w:rPr>
        <w:t xml:space="preserve">Consultation </w:t>
      </w:r>
      <w:r w:rsidR="00AF10FC" w:rsidRPr="00582BA4">
        <w:rPr>
          <w:rFonts w:ascii="Times New Roman" w:hAnsi="Times New Roman" w:cs="Times New Roman"/>
          <w:b/>
          <w:sz w:val="32"/>
          <w:szCs w:val="32"/>
        </w:rPr>
        <w:t>D</w:t>
      </w:r>
      <w:r w:rsidRPr="00582BA4">
        <w:rPr>
          <w:rFonts w:ascii="Times New Roman" w:hAnsi="Times New Roman" w:cs="Times New Roman"/>
          <w:b/>
          <w:sz w:val="32"/>
          <w:szCs w:val="32"/>
        </w:rPr>
        <w:t xml:space="preserve">ocument on Corporate Actions and </w:t>
      </w:r>
      <w:r w:rsidR="007042FE" w:rsidRPr="00582BA4">
        <w:rPr>
          <w:rFonts w:ascii="Times New Roman" w:hAnsi="Times New Roman" w:cs="Times New Roman"/>
          <w:b/>
          <w:sz w:val="32"/>
          <w:szCs w:val="32"/>
        </w:rPr>
        <w:t xml:space="preserve">Data </w:t>
      </w:r>
      <w:r w:rsidRPr="00582BA4">
        <w:rPr>
          <w:rFonts w:ascii="Times New Roman" w:hAnsi="Times New Roman" w:cs="Times New Roman"/>
          <w:b/>
          <w:sz w:val="32"/>
          <w:szCs w:val="32"/>
        </w:rPr>
        <w:t>History in the Global LEI System</w:t>
      </w:r>
    </w:p>
    <w:p w:rsidR="00BF1D3A" w:rsidRPr="00582BA4" w:rsidRDefault="00BF1D3A" w:rsidP="00BF1D3A">
      <w:pPr>
        <w:spacing w:after="120"/>
        <w:jc w:val="center"/>
        <w:rPr>
          <w:rFonts w:ascii="Times New Roman" w:hAnsi="Times New Roman" w:cs="Times New Roman"/>
          <w:b/>
          <w:sz w:val="28"/>
          <w:szCs w:val="28"/>
        </w:rPr>
      </w:pPr>
      <w:r w:rsidRPr="00582BA4">
        <w:rPr>
          <w:rFonts w:ascii="Times New Roman" w:hAnsi="Times New Roman" w:cs="Times New Roman"/>
          <w:b/>
          <w:sz w:val="28"/>
          <w:szCs w:val="28"/>
        </w:rPr>
        <w:t>Annex 1:  Questionnaire for the public</w:t>
      </w:r>
    </w:p>
    <w:p w:rsidR="00BF1D3A" w:rsidRPr="00582BA4" w:rsidRDefault="00BF1D3A" w:rsidP="00BF1D3A">
      <w:pPr>
        <w:rPr>
          <w:rFonts w:ascii="Times New Roman" w:hAnsi="Times New Roman" w:cs="Times New Roman"/>
          <w:sz w:val="24"/>
          <w:szCs w:val="24"/>
        </w:rPr>
      </w:pPr>
    </w:p>
    <w:p w:rsidR="00BF1D3A" w:rsidRPr="00582BA4" w:rsidRDefault="00BF1D3A" w:rsidP="00BF1D3A">
      <w:pPr>
        <w:keepNext/>
        <w:spacing w:after="160"/>
        <w:outlineLvl w:val="0"/>
        <w:rPr>
          <w:rFonts w:ascii="Times New Roman" w:hAnsi="Times New Roman" w:cs="Times New Roman"/>
          <w:bCs/>
          <w:sz w:val="24"/>
          <w:szCs w:val="24"/>
          <w:highlight w:val="yellow"/>
        </w:rPr>
      </w:pPr>
      <w:r w:rsidRPr="00582BA4">
        <w:rPr>
          <w:rFonts w:ascii="Times New Roman" w:hAnsi="Times New Roman" w:cs="Times New Roman"/>
          <w:bCs/>
          <w:sz w:val="24"/>
          <w:szCs w:val="24"/>
        </w:rPr>
        <w:t xml:space="preserve">Please type your answers into the attached questionnaire and send it to leiroc@bis.org by COB </w:t>
      </w:r>
      <w:r w:rsidR="0090159A" w:rsidRPr="00582BA4">
        <w:rPr>
          <w:rFonts w:ascii="Times New Roman" w:hAnsi="Times New Roman" w:cs="Times New Roman"/>
          <w:bCs/>
          <w:sz w:val="24"/>
          <w:szCs w:val="24"/>
        </w:rPr>
        <w:t xml:space="preserve">29 September </w:t>
      </w:r>
      <w:r w:rsidRPr="00582BA4">
        <w:rPr>
          <w:rFonts w:ascii="Times New Roman" w:hAnsi="Times New Roman" w:cs="Times New Roman"/>
          <w:bCs/>
          <w:sz w:val="24"/>
          <w:szCs w:val="24"/>
        </w:rPr>
        <w:t>2017. Where possible, please specify the reasons for the preferences expressed or the details of any trade-offs you see.</w:t>
      </w:r>
    </w:p>
    <w:p w:rsidR="00BF1D3A" w:rsidRPr="00582BA4" w:rsidRDefault="00BF1D3A" w:rsidP="00BF1D3A">
      <w:pPr>
        <w:rPr>
          <w:rFonts w:ascii="Times New Roman" w:hAnsi="Times New Roman" w:cs="Times New Roman"/>
          <w:sz w:val="24"/>
          <w:szCs w:val="24"/>
        </w:rPr>
      </w:pPr>
      <w:r w:rsidRPr="00582BA4">
        <w:rPr>
          <w:rFonts w:ascii="Times New Roman" w:hAnsi="Times New Roman" w:cs="Times New Roman"/>
          <w:sz w:val="24"/>
          <w:szCs w:val="24"/>
        </w:rPr>
        <w:t>The responses to the questionnaire will be shared within the ROC membership and with the GLEIF.</w:t>
      </w:r>
      <w:r w:rsidR="00463CB1" w:rsidRPr="00582BA4">
        <w:rPr>
          <w:rFonts w:ascii="Times New Roman" w:hAnsi="Times New Roman" w:cs="Times New Roman"/>
          <w:sz w:val="24"/>
          <w:szCs w:val="24"/>
        </w:rPr>
        <w:t xml:space="preserve"> </w:t>
      </w:r>
      <w:r w:rsidRPr="00582BA4">
        <w:rPr>
          <w:rFonts w:ascii="Times New Roman" w:hAnsi="Times New Roman" w:cs="Times New Roman"/>
          <w:sz w:val="24"/>
          <w:szCs w:val="24"/>
        </w:rPr>
        <w:t xml:space="preserve"> </w:t>
      </w:r>
      <w:r w:rsidR="0090159A" w:rsidRPr="00582BA4">
        <w:rPr>
          <w:rFonts w:ascii="Times New Roman" w:hAnsi="Times New Roman" w:cs="Times New Roman"/>
          <w:b/>
          <w:sz w:val="24"/>
          <w:szCs w:val="24"/>
        </w:rPr>
        <w:t>Unless participants check the box below, responses will also be made public on the LEI ROC website</w:t>
      </w:r>
      <w:r w:rsidR="0090159A" w:rsidRPr="00582BA4">
        <w:rPr>
          <w:rFonts w:ascii="Times New Roman" w:hAnsi="Times New Roman" w:cs="Times New Roman"/>
          <w:sz w:val="24"/>
          <w:szCs w:val="24"/>
        </w:rPr>
        <w:t xml:space="preserve">. </w:t>
      </w:r>
      <w:r w:rsidRPr="00582BA4">
        <w:rPr>
          <w:rFonts w:ascii="Times New Roman" w:hAnsi="Times New Roman" w:cs="Times New Roman"/>
          <w:sz w:val="24"/>
          <w:szCs w:val="24"/>
        </w:rPr>
        <w:t xml:space="preserve"> </w:t>
      </w:r>
      <w:r w:rsidR="0090159A" w:rsidRPr="00582BA4">
        <w:rPr>
          <w:rFonts w:ascii="Times New Roman" w:hAnsi="Times New Roman" w:cs="Times New Roman"/>
          <w:sz w:val="24"/>
          <w:szCs w:val="24"/>
        </w:rPr>
        <w:t xml:space="preserve">If participants check </w:t>
      </w:r>
      <w:r w:rsidR="00463CB1" w:rsidRPr="00582BA4">
        <w:rPr>
          <w:rFonts w:ascii="Times New Roman" w:hAnsi="Times New Roman" w:cs="Times New Roman"/>
          <w:sz w:val="24"/>
          <w:szCs w:val="24"/>
        </w:rPr>
        <w:t>the</w:t>
      </w:r>
      <w:r w:rsidR="0090159A" w:rsidRPr="00582BA4">
        <w:rPr>
          <w:rFonts w:ascii="Times New Roman" w:hAnsi="Times New Roman" w:cs="Times New Roman"/>
          <w:sz w:val="24"/>
          <w:szCs w:val="24"/>
        </w:rPr>
        <w:t xml:space="preserve"> box, n</w:t>
      </w:r>
      <w:r w:rsidRPr="00582BA4">
        <w:rPr>
          <w:rFonts w:ascii="Times New Roman" w:hAnsi="Times New Roman" w:cs="Times New Roman"/>
          <w:sz w:val="24"/>
          <w:szCs w:val="24"/>
        </w:rPr>
        <w:t>either participants’ identity nor any specifically identified reference to their opinion will be made public without their express consent.  However, the responses themselves may be quoted</w:t>
      </w:r>
      <w:r w:rsidR="00463CB1" w:rsidRPr="00582BA4">
        <w:rPr>
          <w:rFonts w:ascii="Times New Roman" w:hAnsi="Times New Roman" w:cs="Times New Roman"/>
          <w:sz w:val="24"/>
          <w:szCs w:val="24"/>
        </w:rPr>
        <w:t xml:space="preserve"> or aggregated</w:t>
      </w:r>
      <w:r w:rsidRPr="00582BA4">
        <w:rPr>
          <w:rFonts w:ascii="Times New Roman" w:hAnsi="Times New Roman" w:cs="Times New Roman"/>
          <w:sz w:val="24"/>
          <w:szCs w:val="24"/>
        </w:rPr>
        <w:t xml:space="preserve"> on an anonymised basis.  A standard confidentiality statement in an email message </w:t>
      </w:r>
      <w:r w:rsidR="0090159A" w:rsidRPr="00582BA4">
        <w:rPr>
          <w:rFonts w:ascii="Times New Roman" w:hAnsi="Times New Roman" w:cs="Times New Roman"/>
          <w:sz w:val="24"/>
          <w:szCs w:val="24"/>
        </w:rPr>
        <w:t xml:space="preserve">or requests for confidential treatment other than the box below </w:t>
      </w:r>
      <w:r w:rsidRPr="00582BA4">
        <w:rPr>
          <w:rFonts w:ascii="Times New Roman" w:hAnsi="Times New Roman" w:cs="Times New Roman"/>
          <w:sz w:val="24"/>
          <w:szCs w:val="24"/>
        </w:rPr>
        <w:t>will not be treated as a request for non-disclosure.</w:t>
      </w:r>
    </w:p>
    <w:tbl>
      <w:tblPr>
        <w:tblStyle w:val="Tabelraster"/>
        <w:tblW w:w="0" w:type="auto"/>
        <w:tblLook w:val="04A0" w:firstRow="1" w:lastRow="0" w:firstColumn="1" w:lastColumn="0" w:noHBand="0" w:noVBand="1"/>
      </w:tblPr>
      <w:tblGrid>
        <w:gridCol w:w="9061"/>
      </w:tblGrid>
      <w:tr w:rsidR="00BF1D3A" w:rsidRPr="00582BA4" w:rsidTr="00E478C7">
        <w:tc>
          <w:tcPr>
            <w:tcW w:w="9061" w:type="dxa"/>
            <w:shd w:val="clear" w:color="auto" w:fill="D9D9D9" w:themeFill="background1" w:themeFillShade="D9"/>
          </w:tcPr>
          <w:p w:rsidR="00BF1D3A" w:rsidRPr="00582BA4" w:rsidRDefault="00BF1D3A" w:rsidP="00E478C7">
            <w:pPr>
              <w:rPr>
                <w:b/>
                <w:lang w:val="en-US"/>
              </w:rPr>
            </w:pPr>
            <w:r w:rsidRPr="00582BA4">
              <w:rPr>
                <w:b/>
              </w:rPr>
              <w:t>Identification of the respondent and confidentiality</w:t>
            </w:r>
          </w:p>
        </w:tc>
      </w:tr>
      <w:tr w:rsidR="00BF1D3A" w:rsidRPr="00582BA4" w:rsidTr="00E478C7">
        <w:tc>
          <w:tcPr>
            <w:tcW w:w="9061" w:type="dxa"/>
            <w:shd w:val="clear" w:color="auto" w:fill="auto"/>
          </w:tcPr>
          <w:p w:rsidR="00BF1D3A" w:rsidRPr="00582BA4" w:rsidRDefault="00BF1D3A" w:rsidP="00E478C7">
            <w:pPr>
              <w:rPr>
                <w:b/>
                <w:lang w:val="en-US"/>
              </w:rPr>
            </w:pPr>
            <w:r w:rsidRPr="00582BA4">
              <w:rPr>
                <w:b/>
              </w:rPr>
              <w:t xml:space="preserve">Respondent: </w:t>
            </w:r>
            <w:r w:rsidR="00CA70FD">
              <w:rPr>
                <w:b/>
              </w:rPr>
              <w:t>LEI DB AddIn</w:t>
            </w:r>
          </w:p>
          <w:p w:rsidR="00BF1D3A" w:rsidRPr="00582BA4" w:rsidRDefault="00BF1D3A" w:rsidP="00E478C7">
            <w:pPr>
              <w:rPr>
                <w:b/>
                <w:lang w:val="en-US"/>
              </w:rPr>
            </w:pPr>
            <w:r w:rsidRPr="00582BA4">
              <w:rPr>
                <w:b/>
              </w:rPr>
              <w:t>Name and email of a contact person:</w:t>
            </w:r>
            <w:r w:rsidR="00CA70FD">
              <w:rPr>
                <w:b/>
              </w:rPr>
              <w:t xml:space="preserve"> Johan Hol – johan@leidbaddin.com</w:t>
            </w:r>
          </w:p>
          <w:p w:rsidR="00BF1D3A" w:rsidRPr="00247370" w:rsidRDefault="00FB328D" w:rsidP="009B158D">
            <w:pPr>
              <w:jc w:val="left"/>
              <w:rPr>
                <w:b/>
                <w:lang w:val="en-US"/>
              </w:rPr>
            </w:pPr>
            <w:sdt>
              <w:sdtPr>
                <w:rPr>
                  <w:b/>
                </w:rPr>
                <w:id w:val="-1985305924"/>
                <w14:checkbox>
                  <w14:checked w14:val="0"/>
                  <w14:checkedState w14:val="2612" w14:font="MS Gothic"/>
                  <w14:uncheckedState w14:val="2610" w14:font="MS Gothic"/>
                </w14:checkbox>
              </w:sdtPr>
              <w:sdtContent>
                <w:r w:rsidR="00BF1D3A" w:rsidRPr="00247370">
                  <w:rPr>
                    <w:rFonts w:ascii="MS Gothic" w:eastAsia="MS Gothic" w:hAnsi="MS Gothic"/>
                    <w:b/>
                    <w:lang w:val="en-US"/>
                  </w:rPr>
                  <w:t>☐</w:t>
                </w:r>
              </w:sdtContent>
            </w:sdt>
            <w:r w:rsidR="00BF1D3A" w:rsidRPr="00247370">
              <w:rPr>
                <w:b/>
                <w:lang w:val="en-US"/>
              </w:rPr>
              <w:t xml:space="preserve"> Please check this box if you object to </w:t>
            </w:r>
            <w:r w:rsidR="0090159A" w:rsidRPr="00247370">
              <w:rPr>
                <w:b/>
                <w:lang w:val="en-US"/>
              </w:rPr>
              <w:t>the publication of your</w:t>
            </w:r>
            <w:r w:rsidR="00463CB1" w:rsidRPr="00247370">
              <w:rPr>
                <w:b/>
                <w:lang w:val="en-US"/>
              </w:rPr>
              <w:t xml:space="preserve"> </w:t>
            </w:r>
            <w:r w:rsidR="0090159A" w:rsidRPr="00247370">
              <w:rPr>
                <w:b/>
                <w:lang w:val="en-US"/>
              </w:rPr>
              <w:t>response</w:t>
            </w:r>
            <w:r w:rsidR="00463CB1" w:rsidRPr="00247370">
              <w:rPr>
                <w:b/>
                <w:lang w:val="en-US"/>
              </w:rPr>
              <w:t>s to this questionnaire.</w:t>
            </w:r>
          </w:p>
        </w:tc>
      </w:tr>
      <w:tr w:rsidR="00BF1D3A" w:rsidRPr="00582BA4" w:rsidTr="00E478C7">
        <w:tc>
          <w:tcPr>
            <w:tcW w:w="9061" w:type="dxa"/>
            <w:shd w:val="clear" w:color="auto" w:fill="auto"/>
          </w:tcPr>
          <w:p w:rsidR="00BF1D3A" w:rsidRPr="00582BA4" w:rsidRDefault="00BF1D3A" w:rsidP="00F84C93">
            <w:pPr>
              <w:jc w:val="left"/>
              <w:rPr>
                <w:i/>
                <w:lang w:val="en-US"/>
              </w:rPr>
            </w:pPr>
            <w:r w:rsidRPr="00582BA4">
              <w:rPr>
                <w:i/>
              </w:rPr>
              <w:t xml:space="preserve">Please specify here as needed </w:t>
            </w:r>
            <w:r w:rsidR="006E5BE9" w:rsidRPr="00582BA4">
              <w:rPr>
                <w:i/>
              </w:rPr>
              <w:t xml:space="preserve">if there are specific </w:t>
            </w:r>
            <w:r w:rsidRPr="00582BA4">
              <w:rPr>
                <w:i/>
              </w:rPr>
              <w:t xml:space="preserve">response(s) </w:t>
            </w:r>
            <w:r w:rsidR="006E5BE9" w:rsidRPr="00582BA4">
              <w:rPr>
                <w:i/>
              </w:rPr>
              <w:t xml:space="preserve">that </w:t>
            </w:r>
            <w:r w:rsidRPr="00582BA4">
              <w:rPr>
                <w:i/>
              </w:rPr>
              <w:t>should not be quoted:</w:t>
            </w:r>
          </w:p>
          <w:p w:rsidR="00BF1D3A" w:rsidRPr="00582BA4" w:rsidRDefault="00BF1D3A" w:rsidP="00F84C93">
            <w:pPr>
              <w:jc w:val="left"/>
              <w:rPr>
                <w:color w:val="1F497D" w:themeColor="text2"/>
                <w:sz w:val="24"/>
                <w:szCs w:val="24"/>
                <w:lang w:val="en-US"/>
              </w:rPr>
            </w:pPr>
          </w:p>
        </w:tc>
      </w:tr>
      <w:tr w:rsidR="00BF1D3A" w:rsidRPr="00582BA4" w:rsidTr="00E478C7">
        <w:tc>
          <w:tcPr>
            <w:tcW w:w="9061" w:type="dxa"/>
          </w:tcPr>
          <w:p w:rsidR="00BF1D3A" w:rsidRPr="00247370" w:rsidRDefault="0093097D" w:rsidP="0093097D">
            <w:pPr>
              <w:spacing w:after="0"/>
              <w:jc w:val="left"/>
              <w:rPr>
                <w:lang w:val="en-US"/>
              </w:rPr>
            </w:pPr>
            <w:r w:rsidRPr="00582BA4">
              <w:rPr>
                <w:b/>
                <w:sz w:val="24"/>
                <w:szCs w:val="24"/>
              </w:rPr>
              <w:t>Question 1:  Have any</w:t>
            </w:r>
            <w:r w:rsidR="00967CFF" w:rsidRPr="00582BA4">
              <w:rPr>
                <w:b/>
                <w:sz w:val="24"/>
                <w:szCs w:val="24"/>
              </w:rPr>
              <w:t xml:space="preserve"> important</w:t>
            </w:r>
            <w:r w:rsidRPr="00582BA4">
              <w:rPr>
                <w:b/>
                <w:sz w:val="24"/>
                <w:szCs w:val="24"/>
              </w:rPr>
              <w:t xml:space="preserve"> corporate actions that may affect the </w:t>
            </w:r>
            <w:r w:rsidR="00202763" w:rsidRPr="00582BA4">
              <w:rPr>
                <w:b/>
                <w:sz w:val="24"/>
                <w:szCs w:val="24"/>
              </w:rPr>
              <w:t xml:space="preserve">ownership, </w:t>
            </w:r>
            <w:r w:rsidRPr="00582BA4">
              <w:rPr>
                <w:b/>
                <w:sz w:val="24"/>
                <w:szCs w:val="24"/>
              </w:rPr>
              <w:t>legal perimeter or material composition of an entity and/or the reference or relationship data in the GLEIS been omitted from Table 1?</w:t>
            </w:r>
          </w:p>
        </w:tc>
      </w:tr>
      <w:tr w:rsidR="00BF1D3A" w:rsidRPr="00582BA4" w:rsidTr="00E478C7">
        <w:tc>
          <w:tcPr>
            <w:tcW w:w="9061" w:type="dxa"/>
          </w:tcPr>
          <w:p w:rsidR="00BF1D3A" w:rsidRPr="00582BA4" w:rsidRDefault="00BF1D3A" w:rsidP="00F84C93">
            <w:pPr>
              <w:jc w:val="left"/>
              <w:rPr>
                <w:i/>
                <w:lang w:val="en-US"/>
              </w:rPr>
            </w:pPr>
            <w:r w:rsidRPr="00582BA4">
              <w:rPr>
                <w:i/>
              </w:rPr>
              <w:t>Please insert your response here:</w:t>
            </w:r>
          </w:p>
          <w:p w:rsidR="00BF1D3A" w:rsidRPr="00582BA4" w:rsidRDefault="005C146F" w:rsidP="00F84C93">
            <w:pPr>
              <w:jc w:val="left"/>
              <w:rPr>
                <w:color w:val="1F497D" w:themeColor="text2"/>
                <w:sz w:val="24"/>
                <w:lang w:val="en-US"/>
              </w:rPr>
            </w:pPr>
            <w:r>
              <w:rPr>
                <w:color w:val="1F497D" w:themeColor="text2"/>
                <w:sz w:val="24"/>
                <w:lang w:val="en-US"/>
              </w:rPr>
              <w:t xml:space="preserve">The most important corporate actions are covered in </w:t>
            </w:r>
            <w:r w:rsidR="00093926">
              <w:rPr>
                <w:color w:val="1F497D" w:themeColor="text2"/>
                <w:sz w:val="24"/>
                <w:lang w:val="en-US"/>
              </w:rPr>
              <w:t>Table 1. You may think of adding ‘Delisting’ as another corporate actions and treat it in the same way as bankruptcy and liquidation</w:t>
            </w:r>
          </w:p>
        </w:tc>
      </w:tr>
      <w:tr w:rsidR="00BF1D3A" w:rsidRPr="00582BA4" w:rsidTr="00E478C7">
        <w:tc>
          <w:tcPr>
            <w:tcW w:w="9061" w:type="dxa"/>
          </w:tcPr>
          <w:p w:rsidR="00BF1D3A" w:rsidRPr="00622E6C" w:rsidRDefault="0093097D" w:rsidP="0025338E">
            <w:pPr>
              <w:jc w:val="left"/>
              <w:rPr>
                <w:i/>
                <w:lang w:val="en-US"/>
              </w:rPr>
            </w:pPr>
            <w:r w:rsidRPr="00582BA4">
              <w:rPr>
                <w:b/>
                <w:sz w:val="24"/>
                <w:szCs w:val="24"/>
              </w:rPr>
              <w:t xml:space="preserve">Question 2:  </w:t>
            </w:r>
            <w:r w:rsidR="004966F2" w:rsidRPr="00582BA4">
              <w:rPr>
                <w:b/>
                <w:sz w:val="24"/>
                <w:szCs w:val="24"/>
              </w:rPr>
              <w:t>How would you rank the priority</w:t>
            </w:r>
            <w:r w:rsidR="00C8481C">
              <w:rPr>
                <w:b/>
                <w:sz w:val="24"/>
                <w:szCs w:val="24"/>
              </w:rPr>
              <w:t xml:space="preserve"> in the context of the GLEIS</w:t>
            </w:r>
            <w:r w:rsidR="00785ED1" w:rsidRPr="00582BA4">
              <w:rPr>
                <w:b/>
                <w:sz w:val="24"/>
                <w:szCs w:val="24"/>
              </w:rPr>
              <w:t xml:space="preserve"> of the propos</w:t>
            </w:r>
            <w:r w:rsidR="0025338E" w:rsidRPr="00582BA4">
              <w:rPr>
                <w:b/>
                <w:sz w:val="24"/>
                <w:szCs w:val="24"/>
              </w:rPr>
              <w:t>ed corporate actions</w:t>
            </w:r>
            <w:r w:rsidR="00785ED1" w:rsidRPr="00582BA4">
              <w:rPr>
                <w:b/>
                <w:sz w:val="24"/>
                <w:szCs w:val="24"/>
              </w:rPr>
              <w:t xml:space="preserve"> in Table 1? </w:t>
            </w:r>
          </w:p>
        </w:tc>
      </w:tr>
      <w:tr w:rsidR="00BF1D3A" w:rsidRPr="00582BA4" w:rsidTr="00E478C7">
        <w:tc>
          <w:tcPr>
            <w:tcW w:w="9061" w:type="dxa"/>
            <w:tcBorders>
              <w:bottom w:val="single" w:sz="4" w:space="0" w:color="auto"/>
            </w:tcBorders>
          </w:tcPr>
          <w:p w:rsidR="00BF1D3A" w:rsidRPr="00582BA4" w:rsidRDefault="00BF1D3A" w:rsidP="00F84C93">
            <w:pPr>
              <w:jc w:val="left"/>
              <w:rPr>
                <w:i/>
                <w:lang w:val="en-US"/>
              </w:rPr>
            </w:pPr>
            <w:r w:rsidRPr="00582BA4">
              <w:rPr>
                <w:i/>
              </w:rPr>
              <w:t>Please insert your response here:</w:t>
            </w:r>
          </w:p>
          <w:p w:rsidR="00BF1D3A" w:rsidRPr="00582BA4" w:rsidRDefault="00093926" w:rsidP="0093097D">
            <w:pPr>
              <w:jc w:val="left"/>
              <w:rPr>
                <w:color w:val="1F497D" w:themeColor="text2"/>
                <w:sz w:val="24"/>
                <w:szCs w:val="24"/>
                <w:lang w:val="en-US"/>
              </w:rPr>
            </w:pPr>
            <w:r>
              <w:rPr>
                <w:color w:val="1F497D" w:themeColor="text2"/>
                <w:sz w:val="24"/>
                <w:szCs w:val="24"/>
                <w:lang w:val="en-US"/>
              </w:rPr>
              <w:t>The most important are the corporate actions that have a direct impact on the LEI Level1 ánd Level 2 data: (de)mergers, acquisitions, (reverse) takeover etc.</w:t>
            </w:r>
          </w:p>
        </w:tc>
      </w:tr>
      <w:tr w:rsidR="0093097D" w:rsidRPr="00582BA4" w:rsidTr="00F1232F">
        <w:tc>
          <w:tcPr>
            <w:tcW w:w="9061" w:type="dxa"/>
          </w:tcPr>
          <w:p w:rsidR="0093097D" w:rsidRPr="00622E6C" w:rsidRDefault="0093097D" w:rsidP="003E21E4">
            <w:pPr>
              <w:jc w:val="left"/>
              <w:rPr>
                <w:b/>
                <w:sz w:val="24"/>
                <w:szCs w:val="24"/>
                <w:lang w:val="en-US"/>
              </w:rPr>
            </w:pPr>
            <w:r w:rsidRPr="00582BA4">
              <w:rPr>
                <w:b/>
                <w:sz w:val="24"/>
                <w:szCs w:val="24"/>
              </w:rPr>
              <w:t xml:space="preserve">Question 3:  Do the changes described in </w:t>
            </w:r>
            <w:r w:rsidR="003E21E4" w:rsidRPr="00582BA4">
              <w:rPr>
                <w:b/>
                <w:sz w:val="24"/>
                <w:szCs w:val="24"/>
              </w:rPr>
              <w:t>T</w:t>
            </w:r>
            <w:r w:rsidRPr="00582BA4">
              <w:rPr>
                <w:b/>
                <w:sz w:val="24"/>
                <w:szCs w:val="24"/>
              </w:rPr>
              <w:t>able</w:t>
            </w:r>
            <w:r w:rsidR="003E21E4" w:rsidRPr="00582BA4">
              <w:rPr>
                <w:b/>
                <w:sz w:val="24"/>
                <w:szCs w:val="24"/>
              </w:rPr>
              <w:t xml:space="preserve"> 1</w:t>
            </w:r>
            <w:r w:rsidRPr="00582BA4">
              <w:rPr>
                <w:b/>
                <w:sz w:val="24"/>
                <w:szCs w:val="24"/>
              </w:rPr>
              <w:t xml:space="preserve"> sufficiently characterize the effects of the corporate actions on the GLEIS reference and relationship data?</w:t>
            </w:r>
            <w:r w:rsidR="0025338E" w:rsidRPr="00582BA4">
              <w:rPr>
                <w:b/>
                <w:sz w:val="24"/>
                <w:szCs w:val="24"/>
              </w:rPr>
              <w:t xml:space="preserve">  Please note any</w:t>
            </w:r>
            <w:r w:rsidR="00924478" w:rsidRPr="00582BA4">
              <w:rPr>
                <w:b/>
                <w:sz w:val="24"/>
                <w:szCs w:val="24"/>
              </w:rPr>
              <w:t xml:space="preserve"> additional</w:t>
            </w:r>
            <w:r w:rsidR="0025338E" w:rsidRPr="00582BA4">
              <w:rPr>
                <w:b/>
                <w:sz w:val="24"/>
                <w:szCs w:val="24"/>
              </w:rPr>
              <w:t xml:space="preserve"> unique data needs</w:t>
            </w:r>
            <w:r w:rsidR="00924478" w:rsidRPr="00582BA4">
              <w:rPr>
                <w:b/>
                <w:sz w:val="24"/>
                <w:szCs w:val="24"/>
              </w:rPr>
              <w:t xml:space="preserve"> not already reflected in the table</w:t>
            </w:r>
            <w:r w:rsidR="0025338E" w:rsidRPr="00582BA4">
              <w:rPr>
                <w:b/>
                <w:sz w:val="24"/>
                <w:szCs w:val="24"/>
              </w:rPr>
              <w:t xml:space="preserve"> that would help to identify or verify each action.  What would you like to see as an end-user of the data?</w:t>
            </w:r>
          </w:p>
        </w:tc>
      </w:tr>
      <w:tr w:rsidR="0093097D" w:rsidRPr="00582BA4" w:rsidTr="00F1232F">
        <w:tc>
          <w:tcPr>
            <w:tcW w:w="9061" w:type="dxa"/>
            <w:tcBorders>
              <w:bottom w:val="single" w:sz="4" w:space="0" w:color="auto"/>
            </w:tcBorders>
          </w:tcPr>
          <w:p w:rsidR="0093097D" w:rsidRPr="00582BA4" w:rsidRDefault="0093097D" w:rsidP="00F84C93">
            <w:pPr>
              <w:jc w:val="left"/>
              <w:rPr>
                <w:i/>
                <w:lang w:val="en-US"/>
              </w:rPr>
            </w:pPr>
            <w:r w:rsidRPr="00582BA4">
              <w:rPr>
                <w:i/>
              </w:rPr>
              <w:t>Please insert your response here:</w:t>
            </w:r>
          </w:p>
          <w:p w:rsidR="0093097D" w:rsidRPr="00093926" w:rsidRDefault="00093926" w:rsidP="0093097D">
            <w:pPr>
              <w:jc w:val="left"/>
              <w:rPr>
                <w:color w:val="1F497D" w:themeColor="text2"/>
                <w:sz w:val="24"/>
                <w:szCs w:val="24"/>
                <w:lang w:val="en-US"/>
              </w:rPr>
            </w:pPr>
            <w:r>
              <w:rPr>
                <w:color w:val="1F497D" w:themeColor="text2"/>
                <w:sz w:val="24"/>
                <w:szCs w:val="24"/>
                <w:lang w:val="en-US"/>
              </w:rPr>
              <w:t>As an end user I’d like to see the final effect of the corporate actions.</w:t>
            </w:r>
            <w:r>
              <w:rPr>
                <w:color w:val="1F497D" w:themeColor="text2"/>
                <w:sz w:val="24"/>
                <w:szCs w:val="24"/>
                <w:lang w:val="en-US"/>
              </w:rPr>
              <w:br/>
              <w:t>In case of e.g. a reverse take over I don’t have to see the ‘1 minute change’.</w:t>
            </w:r>
          </w:p>
        </w:tc>
      </w:tr>
      <w:tr w:rsidR="00C36476" w:rsidRPr="00582BA4" w:rsidTr="00F1232F">
        <w:tc>
          <w:tcPr>
            <w:tcW w:w="9061" w:type="dxa"/>
            <w:tcBorders>
              <w:bottom w:val="single" w:sz="4" w:space="0" w:color="auto"/>
            </w:tcBorders>
          </w:tcPr>
          <w:p w:rsidR="0003298C" w:rsidRPr="00622E6C" w:rsidRDefault="0003298C" w:rsidP="009B158D">
            <w:pPr>
              <w:pStyle w:val="Lijstalinea"/>
              <w:numPr>
                <w:ilvl w:val="0"/>
                <w:numId w:val="11"/>
              </w:numPr>
              <w:jc w:val="left"/>
              <w:rPr>
                <w:b/>
                <w:sz w:val="24"/>
                <w:szCs w:val="24"/>
                <w:lang w:val="en-US"/>
              </w:rPr>
            </w:pPr>
            <w:r w:rsidRPr="00582BA4">
              <w:rPr>
                <w:b/>
                <w:sz w:val="24"/>
                <w:szCs w:val="24"/>
              </w:rPr>
              <w:t>Question 4:  Feedback is sought on the questions raised in Table 1:</w:t>
            </w:r>
          </w:p>
          <w:p w:rsidR="0003298C" w:rsidRPr="000F3A18" w:rsidRDefault="0003298C" w:rsidP="009B158D">
            <w:pPr>
              <w:ind w:left="720"/>
              <w:jc w:val="left"/>
              <w:rPr>
                <w:b/>
                <w:sz w:val="24"/>
                <w:szCs w:val="24"/>
                <w:lang w:val="en-US"/>
              </w:rPr>
            </w:pPr>
            <w:r w:rsidRPr="00582BA4">
              <w:rPr>
                <w:b/>
                <w:sz w:val="24"/>
                <w:szCs w:val="24"/>
              </w:rPr>
              <w:t xml:space="preserve">a) Proposal to (i) provide a history of data record changes due to corporate events and actions that can easily be searched by end-users of the GLEIS and (ii) add to the LEI reference data the effective date of the change for cases 1, 2, 3, 8, 12, 13, 15 and 17 (name change, trading name change, change of legal address and headquarters address, demerger/spinoff, transformation of an international branch into a subsidiary, transformation of subsidiary into an international branch, dissolution of an entity, and umbrella fund changing its legal structure to a </w:t>
            </w:r>
            <w:r w:rsidR="00B00D54">
              <w:rPr>
                <w:b/>
                <w:sz w:val="24"/>
                <w:szCs w:val="24"/>
              </w:rPr>
              <w:t>stand-alone fund</w:t>
            </w:r>
            <w:r w:rsidRPr="00582BA4">
              <w:rPr>
                <w:b/>
                <w:sz w:val="24"/>
                <w:szCs w:val="24"/>
              </w:rPr>
              <w:t>).</w:t>
            </w:r>
          </w:p>
          <w:p w:rsidR="0003298C" w:rsidRPr="000F3A18" w:rsidRDefault="0003298C" w:rsidP="009B158D">
            <w:pPr>
              <w:ind w:left="720"/>
              <w:jc w:val="left"/>
              <w:rPr>
                <w:b/>
                <w:sz w:val="24"/>
                <w:szCs w:val="24"/>
                <w:lang w:val="en-US"/>
              </w:rPr>
            </w:pPr>
            <w:r w:rsidRPr="00582BA4">
              <w:rPr>
                <w:b/>
                <w:sz w:val="24"/>
                <w:szCs w:val="24"/>
              </w:rPr>
              <w:t>b) Proposal to facilitate the retrieval of predecessor entities for cases 4 and 5 (mergers).</w:t>
            </w:r>
          </w:p>
          <w:p w:rsidR="0003298C" w:rsidRPr="000F3A18" w:rsidRDefault="0003298C" w:rsidP="009B158D">
            <w:pPr>
              <w:ind w:left="720"/>
              <w:jc w:val="left"/>
              <w:rPr>
                <w:b/>
                <w:sz w:val="24"/>
                <w:szCs w:val="24"/>
                <w:lang w:val="en-US"/>
              </w:rPr>
            </w:pPr>
            <w:r w:rsidRPr="00582BA4">
              <w:rPr>
                <w:b/>
                <w:sz w:val="24"/>
                <w:szCs w:val="24"/>
              </w:rPr>
              <w:t>c) Whether an indicator of a spinoff relationship should be added in case 8.</w:t>
            </w:r>
          </w:p>
          <w:p w:rsidR="0003298C" w:rsidRPr="000F3A18" w:rsidRDefault="0003298C" w:rsidP="009B158D">
            <w:pPr>
              <w:ind w:left="720"/>
              <w:jc w:val="left"/>
              <w:rPr>
                <w:b/>
                <w:sz w:val="24"/>
                <w:szCs w:val="24"/>
                <w:lang w:val="en-US"/>
              </w:rPr>
            </w:pPr>
            <w:r w:rsidRPr="00582BA4">
              <w:rPr>
                <w:b/>
                <w:sz w:val="24"/>
                <w:szCs w:val="24"/>
              </w:rPr>
              <w:t>d) Two options to address a demerger/spinoff as described in case 9 as either (i) a combination of two corporate actions (demerger/spinoff and acquisition) or (ii) a spinoff relationship between two entities.</w:t>
            </w:r>
          </w:p>
          <w:p w:rsidR="0003298C" w:rsidRPr="000F3A18" w:rsidRDefault="0003298C" w:rsidP="009B158D">
            <w:pPr>
              <w:ind w:left="720"/>
              <w:jc w:val="left"/>
              <w:rPr>
                <w:b/>
                <w:sz w:val="24"/>
                <w:szCs w:val="24"/>
                <w:lang w:val="en-US"/>
              </w:rPr>
            </w:pPr>
            <w:r w:rsidRPr="00582BA4">
              <w:rPr>
                <w:b/>
                <w:sz w:val="24"/>
                <w:szCs w:val="24"/>
              </w:rPr>
              <w:t>e) Whether a spinoff relationship should be recorded when legally indistinct sub-entities are bought/sold as described in case 10.</w:t>
            </w:r>
          </w:p>
          <w:p w:rsidR="0003298C" w:rsidRPr="000F3A18" w:rsidRDefault="0003298C" w:rsidP="009B158D">
            <w:pPr>
              <w:ind w:left="720"/>
              <w:jc w:val="left"/>
              <w:rPr>
                <w:b/>
                <w:sz w:val="24"/>
                <w:szCs w:val="24"/>
                <w:lang w:val="en-US"/>
              </w:rPr>
            </w:pPr>
            <w:r w:rsidRPr="00582BA4">
              <w:rPr>
                <w:b/>
                <w:sz w:val="24"/>
                <w:szCs w:val="24"/>
              </w:rPr>
              <w:t>f) Whether a specific data element should be added to signal that an entity is under liquidation as described in case 14.</w:t>
            </w:r>
          </w:p>
          <w:p w:rsidR="00C36476" w:rsidRPr="00622E6C" w:rsidRDefault="0003298C" w:rsidP="009B158D">
            <w:pPr>
              <w:ind w:left="720"/>
              <w:jc w:val="left"/>
              <w:rPr>
                <w:b/>
                <w:sz w:val="24"/>
                <w:szCs w:val="24"/>
                <w:lang w:val="en-US"/>
              </w:rPr>
            </w:pPr>
            <w:r w:rsidRPr="00582BA4">
              <w:rPr>
                <w:b/>
                <w:sz w:val="24"/>
                <w:szCs w:val="24"/>
              </w:rPr>
              <w:t>g) Whether in the case of a breakup as described in case 16 the two entities resulting from the breakup should appear as successor entities, or whether the GLEIS should seek to identify a main successor, and apply a spinoff relationship to the other entity.</w:t>
            </w:r>
          </w:p>
        </w:tc>
      </w:tr>
      <w:tr w:rsidR="00C36476" w:rsidRPr="00582BA4" w:rsidTr="00F1232F">
        <w:tc>
          <w:tcPr>
            <w:tcW w:w="9061" w:type="dxa"/>
            <w:tcBorders>
              <w:bottom w:val="single" w:sz="4" w:space="0" w:color="auto"/>
            </w:tcBorders>
          </w:tcPr>
          <w:p w:rsidR="00C36476" w:rsidRPr="00582BA4" w:rsidRDefault="00C36476" w:rsidP="00C36476">
            <w:pPr>
              <w:jc w:val="left"/>
              <w:rPr>
                <w:i/>
                <w:lang w:val="en-US"/>
              </w:rPr>
            </w:pPr>
            <w:r w:rsidRPr="00582BA4">
              <w:rPr>
                <w:i/>
              </w:rPr>
              <w:t>Please insert your response here:</w:t>
            </w:r>
          </w:p>
          <w:p w:rsidR="0066010B" w:rsidRPr="00733F86" w:rsidRDefault="0066010B" w:rsidP="0066010B">
            <w:pPr>
              <w:rPr>
                <w:color w:val="1F497D" w:themeColor="text2"/>
                <w:sz w:val="24"/>
                <w:lang w:val="en-US"/>
              </w:rPr>
            </w:pPr>
            <w:r w:rsidRPr="00733F86">
              <w:rPr>
                <w:color w:val="1F497D" w:themeColor="text2"/>
                <w:sz w:val="24"/>
                <w:lang w:val="en-US"/>
              </w:rPr>
              <w:t xml:space="preserve">In general: having easy access to history of data (not only corporate events and actions) is very useful and will be an improvement of the GLEIS. Adding data element to distinguish between corporate actions is also a plus. </w:t>
            </w:r>
          </w:p>
          <w:p w:rsidR="0066010B" w:rsidRPr="0066010B" w:rsidRDefault="0066010B" w:rsidP="0066010B">
            <w:pPr>
              <w:rPr>
                <w:lang w:val="en-US"/>
              </w:rPr>
            </w:pPr>
            <w:r w:rsidRPr="00733F86">
              <w:rPr>
                <w:color w:val="1F497D" w:themeColor="text2"/>
                <w:sz w:val="24"/>
                <w:lang w:val="en-US"/>
              </w:rPr>
              <w:t>Regarding the effective date: the field itself will add value, but there should be a maximum number of days between the effective date of the corporate action and the first date this corporate action will be reflected in the GLEIS. For regulatory reporting purposes this should be limited to 5-10 days after the corporate action, otherwise it will be difficult for e.g. insurers to include possibly LEI changes in their Solvency II reporting.</w:t>
            </w:r>
          </w:p>
        </w:tc>
      </w:tr>
      <w:tr w:rsidR="0093097D" w:rsidRPr="00582BA4" w:rsidTr="00E478C7">
        <w:tc>
          <w:tcPr>
            <w:tcW w:w="9061" w:type="dxa"/>
            <w:tcBorders>
              <w:bottom w:val="single" w:sz="4" w:space="0" w:color="auto"/>
            </w:tcBorders>
          </w:tcPr>
          <w:p w:rsidR="0093097D" w:rsidRPr="00622E6C" w:rsidRDefault="0093097D" w:rsidP="0003298C">
            <w:pPr>
              <w:jc w:val="left"/>
              <w:rPr>
                <w:sz w:val="24"/>
                <w:szCs w:val="24"/>
                <w:lang w:val="en-US"/>
              </w:rPr>
            </w:pPr>
            <w:r w:rsidRPr="00582BA4">
              <w:rPr>
                <w:b/>
                <w:sz w:val="24"/>
                <w:szCs w:val="24"/>
              </w:rPr>
              <w:t xml:space="preserve">Question </w:t>
            </w:r>
            <w:r w:rsidR="0003298C" w:rsidRPr="00582BA4">
              <w:rPr>
                <w:b/>
                <w:sz w:val="24"/>
                <w:szCs w:val="24"/>
              </w:rPr>
              <w:t>5</w:t>
            </w:r>
            <w:r w:rsidRPr="00582BA4">
              <w:rPr>
                <w:b/>
                <w:sz w:val="24"/>
                <w:szCs w:val="24"/>
              </w:rPr>
              <w:t>:  What is the best approach for the GLEIS to address complex mergers where there is a meaningful question about which entity is the survivor?  Should there be some element of flexibility or choice, or should there be strict rules around how such actions are processed and reflected in the reference and relationship data?</w:t>
            </w:r>
          </w:p>
        </w:tc>
      </w:tr>
      <w:tr w:rsidR="0093097D" w:rsidRPr="00582BA4" w:rsidTr="00F84C93">
        <w:tc>
          <w:tcPr>
            <w:tcW w:w="9061" w:type="dxa"/>
          </w:tcPr>
          <w:p w:rsidR="0093097D" w:rsidRPr="0066010B" w:rsidRDefault="0093097D" w:rsidP="00F84C93">
            <w:pPr>
              <w:jc w:val="left"/>
              <w:rPr>
                <w:lang w:val="en-US"/>
              </w:rPr>
            </w:pPr>
            <w:r w:rsidRPr="00582BA4">
              <w:rPr>
                <w:i/>
              </w:rPr>
              <w:t>Please insert your response here:</w:t>
            </w:r>
            <w:r w:rsidR="0066010B">
              <w:rPr>
                <w:i/>
              </w:rPr>
              <w:br/>
            </w:r>
            <w:r w:rsidR="0066010B" w:rsidRPr="00733F86">
              <w:rPr>
                <w:color w:val="1F497D" w:themeColor="text2"/>
                <w:sz w:val="24"/>
                <w:lang w:val="en-US"/>
              </w:rPr>
              <w:t>In this case I expect that there is one standard set by LEI ROC/GLEIF that cover those complex mergers.</w:t>
            </w:r>
          </w:p>
          <w:p w:rsidR="0093097D" w:rsidRPr="00622E6C" w:rsidRDefault="0093097D" w:rsidP="00F84C93">
            <w:pPr>
              <w:jc w:val="left"/>
              <w:rPr>
                <w:color w:val="1F497D" w:themeColor="text2"/>
                <w:sz w:val="24"/>
                <w:lang w:val="en-US"/>
              </w:rPr>
            </w:pPr>
          </w:p>
        </w:tc>
      </w:tr>
      <w:tr w:rsidR="0093097D" w:rsidRPr="00582BA4" w:rsidTr="00F84C93">
        <w:tc>
          <w:tcPr>
            <w:tcW w:w="9061" w:type="dxa"/>
          </w:tcPr>
          <w:p w:rsidR="0093097D" w:rsidRPr="00622E6C" w:rsidRDefault="0093097D" w:rsidP="0003298C">
            <w:pPr>
              <w:jc w:val="left"/>
              <w:rPr>
                <w:sz w:val="24"/>
                <w:szCs w:val="24"/>
                <w:lang w:val="en-US"/>
              </w:rPr>
            </w:pPr>
            <w:r w:rsidRPr="00582BA4">
              <w:rPr>
                <w:b/>
                <w:sz w:val="24"/>
                <w:szCs w:val="24"/>
              </w:rPr>
              <w:t xml:space="preserve">Question </w:t>
            </w:r>
            <w:r w:rsidR="0003298C" w:rsidRPr="00582BA4">
              <w:rPr>
                <w:b/>
                <w:sz w:val="24"/>
                <w:szCs w:val="24"/>
              </w:rPr>
              <w:t>6</w:t>
            </w:r>
            <w:r w:rsidRPr="00582BA4">
              <w:rPr>
                <w:b/>
                <w:sz w:val="24"/>
                <w:szCs w:val="24"/>
              </w:rPr>
              <w:t xml:space="preserve">:  To what extent should the GLEIS track </w:t>
            </w:r>
            <w:r w:rsidR="00635A40" w:rsidRPr="00582BA4">
              <w:rPr>
                <w:b/>
                <w:sz w:val="24"/>
                <w:szCs w:val="24"/>
              </w:rPr>
              <w:t>spinoff</w:t>
            </w:r>
            <w:r w:rsidRPr="00582BA4">
              <w:rPr>
                <w:b/>
                <w:sz w:val="24"/>
                <w:szCs w:val="24"/>
              </w:rPr>
              <w:t>s of business lines?</w:t>
            </w:r>
            <w:r w:rsidR="00202763" w:rsidRPr="00582BA4">
              <w:rPr>
                <w:b/>
                <w:sz w:val="24"/>
                <w:szCs w:val="24"/>
              </w:rPr>
              <w:t xml:space="preserve"> </w:t>
            </w:r>
            <w:r w:rsidR="00BB7259" w:rsidRPr="00582BA4">
              <w:rPr>
                <w:b/>
                <w:sz w:val="24"/>
                <w:szCs w:val="24"/>
              </w:rPr>
              <w:t xml:space="preserve"> Which entity is best placed to report a </w:t>
            </w:r>
            <w:r w:rsidR="00635A40" w:rsidRPr="00582BA4">
              <w:rPr>
                <w:b/>
                <w:sz w:val="24"/>
                <w:szCs w:val="24"/>
              </w:rPr>
              <w:t>spinoff</w:t>
            </w:r>
            <w:r w:rsidR="00BB7259" w:rsidRPr="00582BA4">
              <w:rPr>
                <w:b/>
                <w:sz w:val="24"/>
                <w:szCs w:val="24"/>
              </w:rPr>
              <w:t xml:space="preserve"> relationship?</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93097D" w:rsidRPr="00622E6C" w:rsidRDefault="0066010B" w:rsidP="00F84C93">
            <w:pPr>
              <w:jc w:val="left"/>
              <w:rPr>
                <w:color w:val="1F497D" w:themeColor="text2"/>
                <w:sz w:val="24"/>
                <w:lang w:val="en-US"/>
              </w:rPr>
            </w:pPr>
            <w:r>
              <w:rPr>
                <w:color w:val="1F497D" w:themeColor="text2"/>
                <w:sz w:val="24"/>
                <w:lang w:val="en-US"/>
              </w:rPr>
              <w:t xml:space="preserve">If the spinoff results in a new LEI it will already be included in GLEIS in the current situation. </w:t>
            </w:r>
            <w:r>
              <w:rPr>
                <w:color w:val="1F497D" w:themeColor="text2"/>
                <w:sz w:val="24"/>
                <w:lang w:val="en-US"/>
              </w:rPr>
              <w:br/>
              <w:t xml:space="preserve">Tracking spinoffs of business lines </w:t>
            </w:r>
            <w:r w:rsidR="00F45597">
              <w:rPr>
                <w:color w:val="1F497D" w:themeColor="text2"/>
                <w:sz w:val="24"/>
                <w:lang w:val="en-US"/>
              </w:rPr>
              <w:t>is a ‘nice to have’.</w:t>
            </w:r>
          </w:p>
        </w:tc>
      </w:tr>
      <w:tr w:rsidR="0093097D" w:rsidRPr="00582BA4" w:rsidTr="00F84C93">
        <w:tc>
          <w:tcPr>
            <w:tcW w:w="9061" w:type="dxa"/>
          </w:tcPr>
          <w:p w:rsidR="0093097D" w:rsidRPr="00622E6C" w:rsidRDefault="0093097D" w:rsidP="0003298C">
            <w:pPr>
              <w:jc w:val="left"/>
              <w:rPr>
                <w:sz w:val="24"/>
                <w:szCs w:val="24"/>
                <w:lang w:val="en-US"/>
              </w:rPr>
            </w:pPr>
            <w:r w:rsidRPr="00582BA4">
              <w:rPr>
                <w:b/>
                <w:sz w:val="24"/>
                <w:szCs w:val="24"/>
              </w:rPr>
              <w:t xml:space="preserve">Question </w:t>
            </w:r>
            <w:r w:rsidR="0003298C" w:rsidRPr="00582BA4">
              <w:rPr>
                <w:b/>
                <w:sz w:val="24"/>
                <w:szCs w:val="24"/>
              </w:rPr>
              <w:t>7</w:t>
            </w:r>
            <w:r w:rsidRPr="00582BA4">
              <w:rPr>
                <w:b/>
                <w:sz w:val="24"/>
                <w:szCs w:val="24"/>
              </w:rPr>
              <w:t xml:space="preserve">:  </w:t>
            </w:r>
            <w:r w:rsidR="002A0389" w:rsidRPr="00582BA4">
              <w:rPr>
                <w:b/>
                <w:sz w:val="24"/>
                <w:szCs w:val="24"/>
              </w:rPr>
              <w:t>What concept of materiality</w:t>
            </w:r>
            <w:r w:rsidR="00BB7259" w:rsidRPr="00582BA4">
              <w:rPr>
                <w:b/>
                <w:sz w:val="24"/>
                <w:szCs w:val="24"/>
              </w:rPr>
              <w:t>, if any,</w:t>
            </w:r>
            <w:r w:rsidR="002A0389" w:rsidRPr="00582BA4">
              <w:rPr>
                <w:b/>
                <w:sz w:val="24"/>
                <w:szCs w:val="24"/>
              </w:rPr>
              <w:t xml:space="preserve"> should be considered relevant for </w:t>
            </w:r>
            <w:r w:rsidR="00202763" w:rsidRPr="00582BA4">
              <w:rPr>
                <w:b/>
                <w:sz w:val="24"/>
                <w:szCs w:val="24"/>
              </w:rPr>
              <w:t xml:space="preserve">reporting </w:t>
            </w:r>
            <w:r w:rsidR="00635A40" w:rsidRPr="00582BA4">
              <w:rPr>
                <w:b/>
                <w:sz w:val="24"/>
                <w:szCs w:val="24"/>
              </w:rPr>
              <w:t>spinoff</w:t>
            </w:r>
            <w:r w:rsidR="00202763" w:rsidRPr="00582BA4">
              <w:rPr>
                <w:b/>
                <w:sz w:val="24"/>
                <w:szCs w:val="24"/>
              </w:rPr>
              <w:t xml:space="preserve">s? </w:t>
            </w:r>
            <w:r w:rsidR="00E32BAE" w:rsidRPr="00582BA4">
              <w:rPr>
                <w:b/>
                <w:sz w:val="24"/>
                <w:szCs w:val="24"/>
              </w:rPr>
              <w:t xml:space="preserve"> </w:t>
            </w:r>
            <w:r w:rsidR="00BB7259" w:rsidRPr="00582BA4">
              <w:rPr>
                <w:b/>
                <w:sz w:val="24"/>
                <w:szCs w:val="24"/>
              </w:rPr>
              <w:t xml:space="preserve">Should the GLEIS capture all publicly verifiable </w:t>
            </w:r>
            <w:r w:rsidR="00635A40" w:rsidRPr="00582BA4">
              <w:rPr>
                <w:b/>
                <w:sz w:val="24"/>
                <w:szCs w:val="24"/>
              </w:rPr>
              <w:t>spinoff</w:t>
            </w:r>
            <w:r w:rsidR="00BB7259" w:rsidRPr="00582BA4">
              <w:rPr>
                <w:b/>
                <w:sz w:val="24"/>
                <w:szCs w:val="24"/>
              </w:rPr>
              <w:t xml:space="preserve">s regardless of materiality, or is there a minimum materiality threshold that could reasonably be established and objectively measured?  </w:t>
            </w:r>
            <w:r w:rsidR="00202763" w:rsidRPr="00582BA4">
              <w:rPr>
                <w:b/>
                <w:sz w:val="24"/>
                <w:szCs w:val="24"/>
              </w:rPr>
              <w:t xml:space="preserve">Should </w:t>
            </w:r>
            <w:r w:rsidR="00635A40" w:rsidRPr="00582BA4">
              <w:rPr>
                <w:b/>
                <w:sz w:val="24"/>
                <w:szCs w:val="24"/>
              </w:rPr>
              <w:t>spinoff</w:t>
            </w:r>
            <w:r w:rsidR="00BB7259" w:rsidRPr="00582BA4">
              <w:rPr>
                <w:b/>
                <w:sz w:val="24"/>
                <w:szCs w:val="24"/>
              </w:rPr>
              <w:t xml:space="preserve"> </w:t>
            </w:r>
            <w:r w:rsidR="00202763" w:rsidRPr="00582BA4">
              <w:rPr>
                <w:b/>
                <w:sz w:val="24"/>
                <w:szCs w:val="24"/>
              </w:rPr>
              <w:t>reporting be optional?</w:t>
            </w:r>
            <w:r w:rsidR="0072555E" w:rsidRPr="00582BA4">
              <w:rPr>
                <w:b/>
                <w:sz w:val="24"/>
                <w:szCs w:val="24"/>
              </w:rPr>
              <w:t xml:space="preserve"> </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93097D" w:rsidRPr="00622E6C" w:rsidRDefault="00F45597" w:rsidP="00F84C93">
            <w:pPr>
              <w:jc w:val="left"/>
              <w:rPr>
                <w:color w:val="1F497D" w:themeColor="text2"/>
                <w:sz w:val="24"/>
                <w:lang w:val="en-US"/>
              </w:rPr>
            </w:pPr>
            <w:r>
              <w:rPr>
                <w:color w:val="1F497D" w:themeColor="text2"/>
                <w:sz w:val="24"/>
                <w:lang w:val="en-US"/>
              </w:rPr>
              <w:t>All publicly verifiable spinoffs should be reported in GLEIS and the ones that are the most material should be reported closer to the effective date than the minor ones.</w:t>
            </w:r>
          </w:p>
        </w:tc>
      </w:tr>
      <w:tr w:rsidR="0093097D" w:rsidRPr="00582BA4" w:rsidTr="00F84C93">
        <w:tc>
          <w:tcPr>
            <w:tcW w:w="9061" w:type="dxa"/>
          </w:tcPr>
          <w:p w:rsidR="0093097D" w:rsidRPr="00622E6C" w:rsidRDefault="0093097D" w:rsidP="0003298C">
            <w:pPr>
              <w:jc w:val="left"/>
              <w:rPr>
                <w:sz w:val="24"/>
                <w:szCs w:val="24"/>
                <w:lang w:val="en-US"/>
              </w:rPr>
            </w:pPr>
            <w:r w:rsidRPr="00582BA4">
              <w:rPr>
                <w:b/>
                <w:sz w:val="24"/>
                <w:szCs w:val="24"/>
              </w:rPr>
              <w:t xml:space="preserve">Question </w:t>
            </w:r>
            <w:r w:rsidR="0003298C" w:rsidRPr="00582BA4">
              <w:rPr>
                <w:b/>
                <w:sz w:val="24"/>
                <w:szCs w:val="24"/>
              </w:rPr>
              <w:t>8</w:t>
            </w:r>
            <w:r w:rsidRPr="00582BA4">
              <w:rPr>
                <w:b/>
                <w:sz w:val="24"/>
                <w:szCs w:val="24"/>
              </w:rPr>
              <w:t>:  Should the ROC define an explicit policy on when an entity should be treated as “the same” over time, should it accept the decision of official sources in the country of the legal address of the entity, or something else?  What do you see as the relative advantages and disadvantages of these options?</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93097D" w:rsidRPr="00622E6C" w:rsidRDefault="00F45597" w:rsidP="00F84C93">
            <w:pPr>
              <w:jc w:val="left"/>
              <w:rPr>
                <w:color w:val="1F497D" w:themeColor="text2"/>
                <w:sz w:val="24"/>
                <w:lang w:val="en-US"/>
              </w:rPr>
            </w:pPr>
            <w:r>
              <w:rPr>
                <w:color w:val="1F497D" w:themeColor="text2"/>
                <w:sz w:val="24"/>
                <w:lang w:val="en-US"/>
              </w:rPr>
              <w:t>The ROC should accept the decision of official sources, but if these sources don’t see an entity as ‘the same’ then there should also be a change in LEI code</w:t>
            </w:r>
          </w:p>
        </w:tc>
      </w:tr>
      <w:tr w:rsidR="0003298C" w:rsidRPr="00582BA4" w:rsidTr="00F84C93">
        <w:tc>
          <w:tcPr>
            <w:tcW w:w="9061" w:type="dxa"/>
          </w:tcPr>
          <w:p w:rsidR="0003298C" w:rsidRPr="00622E6C" w:rsidRDefault="0003298C" w:rsidP="009B158D">
            <w:pPr>
              <w:jc w:val="left"/>
              <w:rPr>
                <w:b/>
                <w:sz w:val="24"/>
                <w:szCs w:val="24"/>
                <w:lang w:val="en-US"/>
              </w:rPr>
            </w:pPr>
            <w:r w:rsidRPr="00582BA4">
              <w:rPr>
                <w:b/>
                <w:sz w:val="24"/>
                <w:szCs w:val="24"/>
              </w:rPr>
              <w:t xml:space="preserve">Question 9:  Would the clarifications above concerning the use of the “inactive” entity status and “retired” registration status be appropriate?  Do you have examples of cases where jurisdictions officially categorize legally existing entities as inactive, and if so, what source(s) could be used </w:t>
            </w:r>
            <w:r w:rsidR="003866FF" w:rsidRPr="00582BA4">
              <w:rPr>
                <w:b/>
                <w:sz w:val="24"/>
                <w:szCs w:val="24"/>
              </w:rPr>
              <w:t>to</w:t>
            </w:r>
            <w:r w:rsidRPr="00582BA4">
              <w:rPr>
                <w:b/>
                <w:sz w:val="24"/>
                <w:szCs w:val="24"/>
              </w:rPr>
              <w:t xml:space="preserve"> validat</w:t>
            </w:r>
            <w:r w:rsidR="003866FF" w:rsidRPr="00582BA4">
              <w:rPr>
                <w:b/>
                <w:sz w:val="24"/>
                <w:szCs w:val="24"/>
              </w:rPr>
              <w:t>e</w:t>
            </w:r>
            <w:r w:rsidRPr="00582BA4">
              <w:rPr>
                <w:b/>
                <w:sz w:val="24"/>
                <w:szCs w:val="24"/>
              </w:rPr>
              <w:t xml:space="preserve"> this status?</w:t>
            </w:r>
          </w:p>
        </w:tc>
      </w:tr>
      <w:tr w:rsidR="0003298C" w:rsidRPr="00582BA4" w:rsidTr="0062442E">
        <w:tc>
          <w:tcPr>
            <w:tcW w:w="9061" w:type="dxa"/>
          </w:tcPr>
          <w:p w:rsidR="0003298C" w:rsidRPr="00582BA4" w:rsidRDefault="0003298C" w:rsidP="0062442E">
            <w:pPr>
              <w:jc w:val="left"/>
              <w:rPr>
                <w:i/>
                <w:lang w:val="en-US"/>
              </w:rPr>
            </w:pPr>
            <w:r w:rsidRPr="00582BA4">
              <w:rPr>
                <w:i/>
              </w:rPr>
              <w:t>Please insert your response here:</w:t>
            </w:r>
          </w:p>
          <w:p w:rsidR="0003298C" w:rsidRPr="00622E6C" w:rsidRDefault="00D96ABB" w:rsidP="0062442E">
            <w:pPr>
              <w:jc w:val="left"/>
              <w:rPr>
                <w:color w:val="1F497D" w:themeColor="text2"/>
                <w:sz w:val="24"/>
                <w:lang w:val="en-US"/>
              </w:rPr>
            </w:pPr>
            <w:r>
              <w:rPr>
                <w:color w:val="1F497D" w:themeColor="text2"/>
                <w:sz w:val="24"/>
                <w:lang w:val="en-US"/>
              </w:rPr>
              <w:t>Yes, those classifications are appropriate.</w:t>
            </w:r>
          </w:p>
        </w:tc>
      </w:tr>
      <w:tr w:rsidR="0093097D" w:rsidRPr="00582BA4" w:rsidTr="00F84C93">
        <w:tc>
          <w:tcPr>
            <w:tcW w:w="9061" w:type="dxa"/>
          </w:tcPr>
          <w:p w:rsidR="0093097D" w:rsidRPr="00622E6C" w:rsidRDefault="0093097D" w:rsidP="00C8481C">
            <w:pPr>
              <w:jc w:val="left"/>
              <w:rPr>
                <w:sz w:val="24"/>
                <w:szCs w:val="24"/>
                <w:lang w:val="en-US"/>
              </w:rPr>
            </w:pPr>
            <w:r w:rsidRPr="00582BA4">
              <w:rPr>
                <w:b/>
                <w:sz w:val="24"/>
                <w:szCs w:val="24"/>
              </w:rPr>
              <w:t xml:space="preserve">Question </w:t>
            </w:r>
            <w:r w:rsidR="005521BA" w:rsidRPr="00582BA4">
              <w:rPr>
                <w:b/>
                <w:sz w:val="24"/>
                <w:szCs w:val="24"/>
              </w:rPr>
              <w:t>10</w:t>
            </w:r>
            <w:r w:rsidRPr="00582BA4">
              <w:rPr>
                <w:b/>
                <w:sz w:val="24"/>
                <w:szCs w:val="24"/>
              </w:rPr>
              <w:t xml:space="preserve">:  </w:t>
            </w:r>
            <w:r w:rsidR="00E32BAE" w:rsidRPr="00582BA4">
              <w:rPr>
                <w:b/>
                <w:sz w:val="24"/>
                <w:szCs w:val="24"/>
              </w:rPr>
              <w:t>D</w:t>
            </w:r>
            <w:r w:rsidRPr="00582BA4">
              <w:rPr>
                <w:b/>
                <w:sz w:val="24"/>
                <w:szCs w:val="24"/>
              </w:rPr>
              <w:t>o the benefits of collecting actual dates of changes in relevant entity attributes, legal perimeter or material composition</w:t>
            </w:r>
            <w:r w:rsidR="00C8481C">
              <w:rPr>
                <w:b/>
                <w:sz w:val="24"/>
                <w:szCs w:val="24"/>
              </w:rPr>
              <w:t xml:space="preserve"> (“effective dates”)</w:t>
            </w:r>
            <w:r w:rsidRPr="00582BA4">
              <w:rPr>
                <w:b/>
                <w:sz w:val="24"/>
                <w:szCs w:val="24"/>
              </w:rPr>
              <w:t xml:space="preserve"> outweigh the costs? </w:t>
            </w:r>
            <w:r w:rsidR="00C8481C">
              <w:rPr>
                <w:b/>
                <w:sz w:val="24"/>
                <w:szCs w:val="24"/>
              </w:rPr>
              <w:t>Are there</w:t>
            </w:r>
            <w:r w:rsidRPr="00582BA4">
              <w:rPr>
                <w:b/>
                <w:sz w:val="24"/>
                <w:szCs w:val="24"/>
              </w:rPr>
              <w:t xml:space="preserve"> </w:t>
            </w:r>
            <w:r w:rsidR="002A0389" w:rsidRPr="00582BA4">
              <w:rPr>
                <w:b/>
                <w:sz w:val="24"/>
                <w:szCs w:val="24"/>
              </w:rPr>
              <w:t xml:space="preserve">important </w:t>
            </w:r>
            <w:r w:rsidRPr="00582BA4">
              <w:rPr>
                <w:b/>
                <w:sz w:val="24"/>
                <w:szCs w:val="24"/>
              </w:rPr>
              <w:t xml:space="preserve">use cases </w:t>
            </w:r>
            <w:r w:rsidR="00C8481C">
              <w:rPr>
                <w:b/>
                <w:sz w:val="24"/>
                <w:szCs w:val="24"/>
              </w:rPr>
              <w:t>that would not be possible if</w:t>
            </w:r>
            <w:r w:rsidRPr="00582BA4">
              <w:rPr>
                <w:b/>
                <w:sz w:val="24"/>
                <w:szCs w:val="24"/>
              </w:rPr>
              <w:t xml:space="preserve"> effective dates </w:t>
            </w:r>
            <w:r w:rsidR="00C8481C">
              <w:rPr>
                <w:b/>
                <w:sz w:val="24"/>
                <w:szCs w:val="24"/>
              </w:rPr>
              <w:t xml:space="preserve">are not available </w:t>
            </w:r>
            <w:r w:rsidRPr="00582BA4">
              <w:rPr>
                <w:b/>
                <w:sz w:val="24"/>
                <w:szCs w:val="24"/>
              </w:rPr>
              <w:t>in the LEI data?</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93097D" w:rsidRPr="00622E6C" w:rsidRDefault="00733F86" w:rsidP="00F84C93">
            <w:pPr>
              <w:jc w:val="left"/>
              <w:rPr>
                <w:color w:val="1F497D" w:themeColor="text2"/>
                <w:sz w:val="24"/>
                <w:lang w:val="en-US"/>
              </w:rPr>
            </w:pPr>
            <w:r>
              <w:rPr>
                <w:color w:val="1F497D" w:themeColor="text2"/>
                <w:sz w:val="24"/>
                <w:lang w:val="en-US"/>
              </w:rPr>
              <w:t>It depends on the time between the effective date and the date that these data is available in GLEIS. If it’s only a couple of days it won’t add much value.</w:t>
            </w:r>
            <w:r>
              <w:rPr>
                <w:color w:val="1F497D" w:themeColor="text2"/>
                <w:sz w:val="24"/>
                <w:lang w:val="en-US"/>
              </w:rPr>
              <w:br/>
              <w:t xml:space="preserve">However, as said </w:t>
            </w:r>
            <w:r w:rsidR="00D96ABB">
              <w:rPr>
                <w:color w:val="1F497D" w:themeColor="text2"/>
                <w:sz w:val="24"/>
                <w:lang w:val="en-US"/>
              </w:rPr>
              <w:t>before it only adds value if the data is available within a short timeframe after the effective date. Otherwise those changes can’t be included in e.g. regulatory filings.</w:t>
            </w:r>
          </w:p>
        </w:tc>
      </w:tr>
      <w:tr w:rsidR="0093097D" w:rsidRPr="00582BA4" w:rsidTr="00F84C93">
        <w:tc>
          <w:tcPr>
            <w:tcW w:w="9061" w:type="dxa"/>
          </w:tcPr>
          <w:p w:rsidR="0093097D" w:rsidRPr="00622E6C" w:rsidRDefault="0093097D" w:rsidP="005521BA">
            <w:pPr>
              <w:jc w:val="left"/>
              <w:rPr>
                <w:b/>
                <w:sz w:val="24"/>
                <w:szCs w:val="24"/>
                <w:lang w:val="en-US"/>
              </w:rPr>
            </w:pPr>
            <w:r w:rsidRPr="00582BA4">
              <w:rPr>
                <w:b/>
                <w:sz w:val="24"/>
                <w:szCs w:val="24"/>
              </w:rPr>
              <w:t xml:space="preserve">Question </w:t>
            </w:r>
            <w:r w:rsidR="005521BA" w:rsidRPr="00582BA4">
              <w:rPr>
                <w:b/>
                <w:sz w:val="24"/>
                <w:szCs w:val="24"/>
              </w:rPr>
              <w:t>11</w:t>
            </w:r>
            <w:r w:rsidRPr="00582BA4">
              <w:rPr>
                <w:b/>
                <w:sz w:val="24"/>
                <w:szCs w:val="24"/>
              </w:rPr>
              <w:t xml:space="preserve">:  Should the GLEIS develop a comprehensive model for history of entity data as well as for the history of the entity and its relationships?  If so, what is the preferred means of expressing such a structure? </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93097D" w:rsidRPr="00622E6C" w:rsidRDefault="00D96ABB" w:rsidP="00F84C93">
            <w:pPr>
              <w:jc w:val="left"/>
              <w:rPr>
                <w:color w:val="1F497D" w:themeColor="text2"/>
                <w:sz w:val="24"/>
                <w:lang w:val="en-US"/>
              </w:rPr>
            </w:pPr>
            <w:r>
              <w:rPr>
                <w:color w:val="1F497D" w:themeColor="text2"/>
                <w:sz w:val="24"/>
                <w:lang w:val="en-US"/>
              </w:rPr>
              <w:t xml:space="preserve">I prefer GLEIS developing such a centralized model and like to have the possibility to track changes on a detailed level. </w:t>
            </w:r>
            <w:r>
              <w:rPr>
                <w:color w:val="1F497D" w:themeColor="text2"/>
                <w:sz w:val="24"/>
                <w:lang w:val="en-US"/>
              </w:rPr>
              <w:br/>
              <w:t>Now I can see when a LEI record was last updated, but I can’t see with fields has been changed.</w:t>
            </w:r>
          </w:p>
        </w:tc>
      </w:tr>
      <w:tr w:rsidR="0093097D" w:rsidRPr="00582BA4" w:rsidTr="00F84C93">
        <w:tc>
          <w:tcPr>
            <w:tcW w:w="9061" w:type="dxa"/>
          </w:tcPr>
          <w:p w:rsidR="0093097D" w:rsidRPr="00622E6C" w:rsidRDefault="0093097D" w:rsidP="00247370">
            <w:pPr>
              <w:jc w:val="left"/>
              <w:rPr>
                <w:b/>
                <w:sz w:val="24"/>
                <w:szCs w:val="24"/>
                <w:lang w:val="en-US"/>
              </w:rPr>
            </w:pPr>
            <w:r w:rsidRPr="00582BA4">
              <w:rPr>
                <w:b/>
                <w:sz w:val="24"/>
                <w:szCs w:val="24"/>
              </w:rPr>
              <w:t>Question 1</w:t>
            </w:r>
            <w:r w:rsidR="005521BA" w:rsidRPr="00582BA4">
              <w:rPr>
                <w:b/>
                <w:sz w:val="24"/>
                <w:szCs w:val="24"/>
              </w:rPr>
              <w:t>2</w:t>
            </w:r>
            <w:r w:rsidRPr="00582BA4">
              <w:rPr>
                <w:b/>
                <w:sz w:val="24"/>
                <w:szCs w:val="24"/>
              </w:rPr>
              <w:t xml:space="preserve">:  What user requirements would you foresee for a system to search and view historical entity data?  Is there any </w:t>
            </w:r>
            <w:r w:rsidR="002A0389" w:rsidRPr="00582BA4">
              <w:rPr>
                <w:b/>
                <w:sz w:val="24"/>
                <w:szCs w:val="24"/>
              </w:rPr>
              <w:t>approach</w:t>
            </w:r>
            <w:r w:rsidR="007E778A" w:rsidRPr="00582BA4">
              <w:rPr>
                <w:b/>
                <w:sz w:val="24"/>
                <w:szCs w:val="24"/>
              </w:rPr>
              <w:t xml:space="preserve"> to presenting entity history to end-users</w:t>
            </w:r>
            <w:r w:rsidRPr="00582BA4">
              <w:rPr>
                <w:b/>
                <w:sz w:val="24"/>
                <w:szCs w:val="24"/>
              </w:rPr>
              <w:t>, whether</w:t>
            </w:r>
            <w:r w:rsidR="007E778A" w:rsidRPr="00582BA4">
              <w:rPr>
                <w:b/>
                <w:sz w:val="24"/>
                <w:szCs w:val="24"/>
              </w:rPr>
              <w:t xml:space="preserve"> in the</w:t>
            </w:r>
            <w:r w:rsidRPr="00582BA4">
              <w:rPr>
                <w:b/>
                <w:sz w:val="24"/>
                <w:szCs w:val="24"/>
              </w:rPr>
              <w:t xml:space="preserve"> public or private</w:t>
            </w:r>
            <w:r w:rsidR="007E778A" w:rsidRPr="00582BA4">
              <w:rPr>
                <w:b/>
                <w:sz w:val="24"/>
                <w:szCs w:val="24"/>
              </w:rPr>
              <w:t xml:space="preserve"> sector</w:t>
            </w:r>
            <w:r w:rsidRPr="00582BA4">
              <w:rPr>
                <w:b/>
                <w:sz w:val="24"/>
                <w:szCs w:val="24"/>
              </w:rPr>
              <w:t>, that you can point to as an “industry standard”</w:t>
            </w:r>
            <w:r w:rsidR="007E778A" w:rsidRPr="00582BA4">
              <w:rPr>
                <w:b/>
                <w:sz w:val="24"/>
                <w:szCs w:val="24"/>
              </w:rPr>
              <w:t xml:space="preserve"> or one that implements “</w:t>
            </w:r>
            <w:r w:rsidR="00247370" w:rsidRPr="00582BA4">
              <w:rPr>
                <w:b/>
                <w:sz w:val="24"/>
                <w:szCs w:val="24"/>
              </w:rPr>
              <w:t xml:space="preserve">good </w:t>
            </w:r>
            <w:r w:rsidR="007E778A" w:rsidRPr="00582BA4">
              <w:rPr>
                <w:b/>
                <w:sz w:val="24"/>
                <w:szCs w:val="24"/>
              </w:rPr>
              <w:t>practices”</w:t>
            </w:r>
            <w:r w:rsidRPr="00582BA4">
              <w:rPr>
                <w:b/>
                <w:sz w:val="24"/>
                <w:szCs w:val="24"/>
              </w:rPr>
              <w:t>?</w:t>
            </w:r>
          </w:p>
        </w:tc>
      </w:tr>
      <w:tr w:rsidR="0093097D" w:rsidRPr="00582BA4" w:rsidTr="00F84C93">
        <w:tc>
          <w:tcPr>
            <w:tcW w:w="9061" w:type="dxa"/>
          </w:tcPr>
          <w:p w:rsidR="0093097D" w:rsidRPr="00582BA4" w:rsidRDefault="0093097D" w:rsidP="00F84C93">
            <w:pPr>
              <w:jc w:val="left"/>
              <w:rPr>
                <w:i/>
                <w:lang w:val="en-US"/>
              </w:rPr>
            </w:pPr>
            <w:r w:rsidRPr="00582BA4">
              <w:rPr>
                <w:i/>
              </w:rPr>
              <w:t>Please insert your response here:</w:t>
            </w:r>
          </w:p>
          <w:p w:rsidR="00D96ABB" w:rsidRPr="00622E6C" w:rsidRDefault="00D96ABB" w:rsidP="00F84C93">
            <w:pPr>
              <w:jc w:val="left"/>
              <w:rPr>
                <w:color w:val="1F497D" w:themeColor="text2"/>
                <w:sz w:val="24"/>
                <w:lang w:val="en-US"/>
              </w:rPr>
            </w:pPr>
            <w:r>
              <w:rPr>
                <w:color w:val="1F497D" w:themeColor="text2"/>
                <w:sz w:val="24"/>
                <w:lang w:val="en-US"/>
              </w:rPr>
              <w:t>For end-users it should be very simple to access and use the data.</w:t>
            </w:r>
            <w:r>
              <w:rPr>
                <w:color w:val="1F497D" w:themeColor="text2"/>
                <w:sz w:val="24"/>
                <w:lang w:val="en-US"/>
              </w:rPr>
              <w:br/>
              <w:t xml:space="preserve">I don’t see much added value in a full download of all data as there’s for the current Level1 and Level2 data. </w:t>
            </w:r>
            <w:r>
              <w:rPr>
                <w:color w:val="1F497D" w:themeColor="text2"/>
                <w:sz w:val="24"/>
                <w:lang w:val="en-US"/>
              </w:rPr>
              <w:br/>
              <w:t>However, within the LEI records itself (online forms) it would be great to have hyperlinks that show historical data.</w:t>
            </w:r>
            <w:r>
              <w:rPr>
                <w:color w:val="1F497D" w:themeColor="text2"/>
                <w:sz w:val="24"/>
                <w:lang w:val="en-US"/>
              </w:rPr>
              <w:br/>
              <w:t>As an example I’d like to refer to the European Rating Platform of ESMA. (</w:t>
            </w:r>
            <w:r w:rsidRPr="00D96ABB">
              <w:rPr>
                <w:color w:val="1F497D" w:themeColor="text2"/>
                <w:sz w:val="24"/>
                <w:lang w:val="en-US"/>
              </w:rPr>
              <w:t>https://registers.esma.europa.eu/publication/searchRegister?core=esma_registers_radar</w:t>
            </w:r>
            <w:r>
              <w:rPr>
                <w:color w:val="1F497D" w:themeColor="text2"/>
                <w:sz w:val="24"/>
                <w:lang w:val="en-US"/>
              </w:rPr>
              <w:t>)</w:t>
            </w:r>
          </w:p>
        </w:tc>
      </w:tr>
      <w:tr w:rsidR="0048094E" w:rsidRPr="00582BA4" w:rsidTr="00F84C93">
        <w:tc>
          <w:tcPr>
            <w:tcW w:w="9061" w:type="dxa"/>
          </w:tcPr>
          <w:p w:rsidR="0048094E" w:rsidRPr="00622E6C" w:rsidRDefault="0048094E" w:rsidP="005521BA">
            <w:pPr>
              <w:jc w:val="left"/>
              <w:rPr>
                <w:b/>
                <w:sz w:val="24"/>
                <w:szCs w:val="24"/>
                <w:lang w:val="en-US"/>
              </w:rPr>
            </w:pPr>
            <w:r w:rsidRPr="00582BA4">
              <w:rPr>
                <w:b/>
                <w:sz w:val="24"/>
                <w:szCs w:val="24"/>
              </w:rPr>
              <w:t>Question 1</w:t>
            </w:r>
            <w:r w:rsidR="005521BA" w:rsidRPr="00582BA4">
              <w:rPr>
                <w:b/>
                <w:sz w:val="24"/>
                <w:szCs w:val="24"/>
              </w:rPr>
              <w:t>3</w:t>
            </w:r>
            <w:r w:rsidRPr="00582BA4">
              <w:rPr>
                <w:b/>
                <w:sz w:val="24"/>
                <w:szCs w:val="24"/>
              </w:rPr>
              <w:t>:  What do you see as the pros and cons of the proposed approach to leveraging corporate action data feeds? What sources (both public and private/commercial) would you recommend or not recommend?</w:t>
            </w:r>
          </w:p>
        </w:tc>
      </w:tr>
      <w:tr w:rsidR="0048094E" w:rsidRPr="00582BA4" w:rsidTr="00F84C93">
        <w:tc>
          <w:tcPr>
            <w:tcW w:w="9061" w:type="dxa"/>
          </w:tcPr>
          <w:p w:rsidR="0048094E" w:rsidRPr="00582BA4" w:rsidRDefault="0048094E" w:rsidP="00FA2F8A">
            <w:pPr>
              <w:jc w:val="left"/>
              <w:rPr>
                <w:i/>
                <w:lang w:val="en-US"/>
              </w:rPr>
            </w:pPr>
            <w:r w:rsidRPr="00582BA4">
              <w:rPr>
                <w:i/>
              </w:rPr>
              <w:t>Please insert your response here:</w:t>
            </w:r>
          </w:p>
          <w:p w:rsidR="0048094E" w:rsidRPr="00622E6C" w:rsidRDefault="0073475C" w:rsidP="001925A2">
            <w:pPr>
              <w:rPr>
                <w:b/>
                <w:sz w:val="24"/>
                <w:szCs w:val="24"/>
                <w:lang w:val="en-US"/>
              </w:rPr>
            </w:pPr>
            <w:r>
              <w:rPr>
                <w:color w:val="1F497D" w:themeColor="text2"/>
                <w:sz w:val="24"/>
                <w:lang w:val="en-US"/>
              </w:rPr>
              <w:t xml:space="preserve">I agree that it can be very complicated to get such data feeds. My recommendation is that every entity that has an LEI has an obligation to report corporate actions to their LOU as well. </w:t>
            </w:r>
          </w:p>
        </w:tc>
      </w:tr>
      <w:tr w:rsidR="0048094E" w:rsidRPr="00582BA4" w:rsidTr="00F84C93">
        <w:tc>
          <w:tcPr>
            <w:tcW w:w="9061" w:type="dxa"/>
          </w:tcPr>
          <w:p w:rsidR="0048094E" w:rsidRPr="00622E6C" w:rsidRDefault="0048094E" w:rsidP="005521BA">
            <w:pPr>
              <w:jc w:val="left"/>
              <w:rPr>
                <w:b/>
                <w:sz w:val="24"/>
                <w:szCs w:val="24"/>
                <w:lang w:val="en-US"/>
              </w:rPr>
            </w:pPr>
            <w:r w:rsidRPr="00582BA4">
              <w:rPr>
                <w:b/>
                <w:sz w:val="24"/>
                <w:szCs w:val="24"/>
              </w:rPr>
              <w:t>Question 1</w:t>
            </w:r>
            <w:r w:rsidR="005521BA" w:rsidRPr="00582BA4">
              <w:rPr>
                <w:b/>
                <w:sz w:val="24"/>
                <w:szCs w:val="24"/>
              </w:rPr>
              <w:t>4</w:t>
            </w:r>
            <w:r w:rsidRPr="00582BA4">
              <w:rPr>
                <w:b/>
                <w:sz w:val="24"/>
                <w:szCs w:val="24"/>
              </w:rPr>
              <w:t>:  In cases where an entity has ceased to exist without reporting that information to the GLEIS, what would be the appropriate alternative sources and methods to capture this information?  Are there ways to incentivize the prompt reporting by the entity to the LOU of other corporate actions, as foreseen in the Global LEI System, to maintain high quality reference data and data history?</w:t>
            </w:r>
          </w:p>
        </w:tc>
      </w:tr>
      <w:tr w:rsidR="0048094E" w:rsidRPr="00582BA4" w:rsidTr="00F84C93">
        <w:tc>
          <w:tcPr>
            <w:tcW w:w="9061" w:type="dxa"/>
          </w:tcPr>
          <w:p w:rsidR="0048094E" w:rsidRPr="00582BA4" w:rsidRDefault="0048094E" w:rsidP="00F84C93">
            <w:pPr>
              <w:jc w:val="left"/>
              <w:rPr>
                <w:i/>
                <w:lang w:val="en-US"/>
              </w:rPr>
            </w:pPr>
            <w:r w:rsidRPr="00582BA4">
              <w:rPr>
                <w:i/>
              </w:rPr>
              <w:t>Please insert your response here:</w:t>
            </w:r>
          </w:p>
          <w:p w:rsidR="0048094E" w:rsidRPr="00622E6C" w:rsidRDefault="0073475C" w:rsidP="00F84C93">
            <w:pPr>
              <w:jc w:val="left"/>
              <w:rPr>
                <w:color w:val="1F497D" w:themeColor="text2"/>
                <w:sz w:val="24"/>
                <w:szCs w:val="24"/>
                <w:lang w:val="en-US"/>
              </w:rPr>
            </w:pPr>
            <w:r>
              <w:rPr>
                <w:color w:val="1F497D" w:themeColor="text2"/>
                <w:sz w:val="24"/>
                <w:szCs w:val="24"/>
                <w:lang w:val="en-US"/>
              </w:rPr>
              <w:t>With the GLEIS being available for everyone at no cost, the entities could also benefit themselves have access to up-to-date entity data of their customers, suppliers, competitors etc. That in itself should already be a good incentive.</w:t>
            </w:r>
            <w:r>
              <w:rPr>
                <w:color w:val="1F497D" w:themeColor="text2"/>
                <w:sz w:val="24"/>
                <w:szCs w:val="24"/>
                <w:lang w:val="en-US"/>
              </w:rPr>
              <w:br/>
              <w:t>If you apply for or renew the LEI every entity should accept that they have to report all relevant corporate actions going forward; if they refuse to accept then they will lose their LEI.</w:t>
            </w:r>
          </w:p>
        </w:tc>
      </w:tr>
      <w:tr w:rsidR="0048094E" w:rsidRPr="00582BA4" w:rsidTr="00F84C93">
        <w:tc>
          <w:tcPr>
            <w:tcW w:w="9061" w:type="dxa"/>
          </w:tcPr>
          <w:p w:rsidR="0048094E" w:rsidRPr="00622E6C" w:rsidRDefault="0048094E" w:rsidP="005521BA">
            <w:pPr>
              <w:jc w:val="left"/>
              <w:rPr>
                <w:b/>
                <w:sz w:val="24"/>
                <w:szCs w:val="24"/>
                <w:lang w:val="en-US"/>
              </w:rPr>
            </w:pPr>
            <w:r w:rsidRPr="00582BA4">
              <w:rPr>
                <w:b/>
                <w:sz w:val="24"/>
                <w:szCs w:val="24"/>
              </w:rPr>
              <w:t>Question 1</w:t>
            </w:r>
            <w:r w:rsidR="005521BA" w:rsidRPr="00582BA4">
              <w:rPr>
                <w:b/>
                <w:sz w:val="24"/>
                <w:szCs w:val="24"/>
              </w:rPr>
              <w:t>5</w:t>
            </w:r>
            <w:r w:rsidRPr="00582BA4">
              <w:rPr>
                <w:b/>
                <w:sz w:val="24"/>
                <w:szCs w:val="24"/>
              </w:rPr>
              <w:t>:  How timely should the GLEIS attempt to be in capturing information on corporate actions affecting the legal perimeter or material composition of an entity?</w:t>
            </w:r>
          </w:p>
        </w:tc>
      </w:tr>
      <w:tr w:rsidR="0048094E" w:rsidRPr="00582BA4" w:rsidTr="00F84C93">
        <w:tc>
          <w:tcPr>
            <w:tcW w:w="9061" w:type="dxa"/>
          </w:tcPr>
          <w:p w:rsidR="0048094E" w:rsidRPr="00582BA4" w:rsidRDefault="0048094E" w:rsidP="00F84C93">
            <w:pPr>
              <w:jc w:val="left"/>
              <w:rPr>
                <w:i/>
                <w:lang w:val="en-US"/>
              </w:rPr>
            </w:pPr>
            <w:r w:rsidRPr="00582BA4">
              <w:rPr>
                <w:i/>
              </w:rPr>
              <w:t>Please insert your response here:</w:t>
            </w:r>
          </w:p>
          <w:p w:rsidR="0048094E" w:rsidRPr="00622E6C" w:rsidRDefault="0065343B" w:rsidP="00F84C93">
            <w:pPr>
              <w:jc w:val="left"/>
              <w:rPr>
                <w:color w:val="1F497D" w:themeColor="text2"/>
                <w:sz w:val="24"/>
                <w:szCs w:val="24"/>
                <w:lang w:val="en-US"/>
              </w:rPr>
            </w:pPr>
            <w:r>
              <w:rPr>
                <w:color w:val="1F497D" w:themeColor="text2"/>
                <w:sz w:val="24"/>
                <w:szCs w:val="24"/>
                <w:lang w:val="en-US"/>
              </w:rPr>
              <w:t>With corporate actions taking place close to reporting period ends, data should be available as soon as possible, at least within a week after the corporate event.</w:t>
            </w:r>
          </w:p>
        </w:tc>
      </w:tr>
      <w:tr w:rsidR="0048094E" w:rsidRPr="00582BA4" w:rsidTr="00F84C93">
        <w:tc>
          <w:tcPr>
            <w:tcW w:w="9061" w:type="dxa"/>
          </w:tcPr>
          <w:p w:rsidR="0048094E" w:rsidRPr="00622E6C" w:rsidRDefault="0048094E" w:rsidP="005521BA">
            <w:pPr>
              <w:jc w:val="left"/>
              <w:rPr>
                <w:b/>
                <w:sz w:val="24"/>
                <w:szCs w:val="24"/>
                <w:lang w:val="en-US"/>
              </w:rPr>
            </w:pPr>
            <w:r w:rsidRPr="00582BA4">
              <w:rPr>
                <w:b/>
                <w:sz w:val="24"/>
                <w:szCs w:val="24"/>
              </w:rPr>
              <w:t>Question 1</w:t>
            </w:r>
            <w:r w:rsidR="005521BA" w:rsidRPr="00582BA4">
              <w:rPr>
                <w:b/>
                <w:sz w:val="24"/>
                <w:szCs w:val="24"/>
              </w:rPr>
              <w:t>6</w:t>
            </w:r>
            <w:r w:rsidRPr="00582BA4">
              <w:rPr>
                <w:b/>
                <w:sz w:val="24"/>
                <w:szCs w:val="24"/>
              </w:rPr>
              <w:t>:  What should the standard be for validating spinoffs?  Where external validation is not possible, what should be the possibility of using entity-provided information?</w:t>
            </w:r>
          </w:p>
        </w:tc>
      </w:tr>
      <w:tr w:rsidR="0048094E" w:rsidRPr="00582BA4" w:rsidTr="00F84C93">
        <w:tc>
          <w:tcPr>
            <w:tcW w:w="9061" w:type="dxa"/>
          </w:tcPr>
          <w:p w:rsidR="0048094E" w:rsidRPr="00582BA4" w:rsidRDefault="0048094E" w:rsidP="00F84C93">
            <w:pPr>
              <w:jc w:val="left"/>
              <w:rPr>
                <w:i/>
                <w:lang w:val="en-US"/>
              </w:rPr>
            </w:pPr>
            <w:r w:rsidRPr="00582BA4">
              <w:rPr>
                <w:i/>
              </w:rPr>
              <w:t>Please insert your response here:</w:t>
            </w:r>
          </w:p>
          <w:p w:rsidR="0048094E" w:rsidRPr="00622E6C" w:rsidRDefault="005A3E7B" w:rsidP="00F84C93">
            <w:pPr>
              <w:jc w:val="left"/>
              <w:rPr>
                <w:color w:val="1F497D" w:themeColor="text2"/>
                <w:sz w:val="24"/>
                <w:szCs w:val="24"/>
                <w:lang w:val="en-US"/>
              </w:rPr>
            </w:pPr>
            <w:r>
              <w:rPr>
                <w:color w:val="1F497D" w:themeColor="text2"/>
                <w:sz w:val="24"/>
                <w:szCs w:val="24"/>
                <w:lang w:val="en-US"/>
              </w:rPr>
              <w:t>The standard should be information provided by the entity(ies) themselves, so either regulatory filings or financial statements. However, data should already be available before it has been validated (see Q15)</w:t>
            </w:r>
          </w:p>
        </w:tc>
      </w:tr>
      <w:tr w:rsidR="0048094E" w:rsidRPr="00582BA4" w:rsidTr="00F84C93">
        <w:tc>
          <w:tcPr>
            <w:tcW w:w="9061" w:type="dxa"/>
          </w:tcPr>
          <w:p w:rsidR="0048094E" w:rsidRPr="00622E6C" w:rsidRDefault="0048094E" w:rsidP="005521BA">
            <w:pPr>
              <w:jc w:val="left"/>
              <w:rPr>
                <w:sz w:val="24"/>
                <w:szCs w:val="24"/>
                <w:lang w:val="en-US"/>
              </w:rPr>
            </w:pPr>
            <w:r w:rsidRPr="00582BA4">
              <w:rPr>
                <w:b/>
                <w:sz w:val="24"/>
                <w:szCs w:val="24"/>
              </w:rPr>
              <w:t>Question 1</w:t>
            </w:r>
            <w:r w:rsidR="005521BA" w:rsidRPr="00582BA4">
              <w:rPr>
                <w:b/>
                <w:sz w:val="24"/>
                <w:szCs w:val="24"/>
              </w:rPr>
              <w:t>7</w:t>
            </w:r>
            <w:r w:rsidRPr="00582BA4">
              <w:rPr>
                <w:b/>
                <w:sz w:val="24"/>
                <w:szCs w:val="24"/>
              </w:rPr>
              <w:t>:  Are there any alternative approaches that are not outlined in this paper that would be necessary to support the long-term collection and maintenance of corporate actions on the LEI reference and relationship data and entity history?</w:t>
            </w:r>
          </w:p>
        </w:tc>
      </w:tr>
      <w:tr w:rsidR="0048094E" w:rsidRPr="00582BA4" w:rsidTr="00F84C93">
        <w:tc>
          <w:tcPr>
            <w:tcW w:w="9061" w:type="dxa"/>
          </w:tcPr>
          <w:p w:rsidR="0048094E" w:rsidRPr="00582BA4" w:rsidRDefault="0048094E" w:rsidP="00F84C93">
            <w:pPr>
              <w:jc w:val="left"/>
              <w:rPr>
                <w:i/>
                <w:lang w:val="en-US"/>
              </w:rPr>
            </w:pPr>
            <w:r w:rsidRPr="00582BA4">
              <w:rPr>
                <w:i/>
              </w:rPr>
              <w:t>Please insert your response here:</w:t>
            </w:r>
          </w:p>
          <w:p w:rsidR="0048094E" w:rsidRPr="00622E6C" w:rsidRDefault="00E87BFA" w:rsidP="00F84C93">
            <w:pPr>
              <w:jc w:val="left"/>
              <w:rPr>
                <w:color w:val="1F497D" w:themeColor="text2"/>
                <w:sz w:val="24"/>
                <w:szCs w:val="24"/>
                <w:lang w:val="en-US"/>
              </w:rPr>
            </w:pPr>
            <w:r>
              <w:rPr>
                <w:color w:val="1F497D" w:themeColor="text2"/>
                <w:sz w:val="24"/>
                <w:szCs w:val="24"/>
                <w:lang w:val="en-US"/>
              </w:rPr>
              <w:t>If possible, try to get the collecting of data in line with the Level2 Data and urge entities to update their data asap.</w:t>
            </w:r>
          </w:p>
        </w:tc>
      </w:tr>
      <w:tr w:rsidR="0048094E" w:rsidRPr="00582BA4" w:rsidTr="00F84C93">
        <w:tc>
          <w:tcPr>
            <w:tcW w:w="9061" w:type="dxa"/>
          </w:tcPr>
          <w:p w:rsidR="0048094E" w:rsidRPr="00622E6C" w:rsidRDefault="0048094E" w:rsidP="005521BA">
            <w:pPr>
              <w:jc w:val="left"/>
              <w:rPr>
                <w:b/>
                <w:sz w:val="24"/>
                <w:szCs w:val="24"/>
                <w:lang w:val="en-US"/>
              </w:rPr>
            </w:pPr>
            <w:r w:rsidRPr="00582BA4">
              <w:rPr>
                <w:b/>
                <w:sz w:val="24"/>
                <w:szCs w:val="24"/>
              </w:rPr>
              <w:t>Question 1</w:t>
            </w:r>
            <w:r w:rsidR="005521BA" w:rsidRPr="00582BA4">
              <w:rPr>
                <w:b/>
                <w:sz w:val="24"/>
                <w:szCs w:val="24"/>
              </w:rPr>
              <w:t>8</w:t>
            </w:r>
            <w:r w:rsidRPr="00582BA4">
              <w:rPr>
                <w:b/>
                <w:sz w:val="24"/>
                <w:szCs w:val="24"/>
              </w:rPr>
              <w:t>:  What other input should the ROC consider with respect to the framework presented in this consultation paper?</w:t>
            </w:r>
          </w:p>
        </w:tc>
      </w:tr>
      <w:tr w:rsidR="0048094E" w:rsidRPr="00582BA4" w:rsidTr="00DC41CD">
        <w:tc>
          <w:tcPr>
            <w:tcW w:w="9061" w:type="dxa"/>
          </w:tcPr>
          <w:p w:rsidR="0048094E" w:rsidRPr="00582BA4" w:rsidRDefault="0048094E" w:rsidP="0011182A">
            <w:pPr>
              <w:jc w:val="left"/>
              <w:rPr>
                <w:i/>
                <w:lang w:val="en-US"/>
              </w:rPr>
            </w:pPr>
            <w:r w:rsidRPr="00582BA4">
              <w:rPr>
                <w:i/>
              </w:rPr>
              <w:t>Please insert your response here:</w:t>
            </w:r>
          </w:p>
          <w:p w:rsidR="0048094E" w:rsidRPr="00622E6C" w:rsidRDefault="0048094E" w:rsidP="00F84C93">
            <w:pPr>
              <w:jc w:val="left"/>
              <w:rPr>
                <w:color w:val="1F497D" w:themeColor="text2"/>
                <w:sz w:val="24"/>
                <w:szCs w:val="24"/>
                <w:lang w:val="en-US"/>
              </w:rPr>
            </w:pPr>
          </w:p>
        </w:tc>
      </w:tr>
      <w:tr w:rsidR="0048094E" w:rsidRPr="00582BA4" w:rsidTr="00DC41CD">
        <w:tc>
          <w:tcPr>
            <w:tcW w:w="9061" w:type="dxa"/>
          </w:tcPr>
          <w:p w:rsidR="0048094E" w:rsidRPr="00622E6C" w:rsidRDefault="0048094E" w:rsidP="005521BA">
            <w:pPr>
              <w:jc w:val="left"/>
              <w:rPr>
                <w:i/>
                <w:lang w:val="en-US"/>
              </w:rPr>
            </w:pPr>
            <w:r w:rsidRPr="00582BA4">
              <w:rPr>
                <w:b/>
                <w:sz w:val="24"/>
                <w:szCs w:val="24"/>
              </w:rPr>
              <w:t>Question 1</w:t>
            </w:r>
            <w:r w:rsidR="005521BA" w:rsidRPr="00582BA4">
              <w:rPr>
                <w:b/>
                <w:sz w:val="24"/>
                <w:szCs w:val="24"/>
              </w:rPr>
              <w:t>9</w:t>
            </w:r>
            <w:r w:rsidRPr="00582BA4">
              <w:rPr>
                <w:b/>
                <w:sz w:val="24"/>
                <w:szCs w:val="24"/>
              </w:rPr>
              <w:t>:  Are you aware of any confidentiality or legal prohibitions that may impact the collection of corporate action information in the GLEIS? If so, please describe them in as much detail as possible?</w:t>
            </w:r>
          </w:p>
        </w:tc>
      </w:tr>
      <w:tr w:rsidR="0048094E" w:rsidRPr="00582BA4" w:rsidTr="00E478C7">
        <w:tc>
          <w:tcPr>
            <w:tcW w:w="9061" w:type="dxa"/>
            <w:tcBorders>
              <w:bottom w:val="single" w:sz="4" w:space="0" w:color="auto"/>
            </w:tcBorders>
          </w:tcPr>
          <w:p w:rsidR="0048094E" w:rsidRPr="00582BA4" w:rsidRDefault="0048094E" w:rsidP="004C2A17">
            <w:pPr>
              <w:jc w:val="left"/>
              <w:rPr>
                <w:i/>
                <w:lang w:val="en-US"/>
              </w:rPr>
            </w:pPr>
            <w:r w:rsidRPr="00582BA4">
              <w:rPr>
                <w:i/>
              </w:rPr>
              <w:t>Please insert your response here:</w:t>
            </w:r>
          </w:p>
          <w:p w:rsidR="0048094E" w:rsidRPr="00622E6C" w:rsidRDefault="0048094E" w:rsidP="004C2A17">
            <w:pPr>
              <w:rPr>
                <w:b/>
                <w:sz w:val="24"/>
                <w:szCs w:val="24"/>
                <w:lang w:val="en-US"/>
              </w:rPr>
            </w:pPr>
          </w:p>
        </w:tc>
      </w:tr>
    </w:tbl>
    <w:p w:rsidR="00B32991" w:rsidRPr="00582BA4" w:rsidRDefault="00B32991">
      <w:pPr>
        <w:rPr>
          <w:rFonts w:ascii="Times New Roman" w:hAnsi="Times New Roman" w:cs="Times New Roman"/>
          <w:sz w:val="24"/>
          <w:szCs w:val="24"/>
        </w:rPr>
      </w:pPr>
    </w:p>
    <w:p w:rsidR="00D930EF" w:rsidRPr="00582BA4" w:rsidRDefault="00D930EF">
      <w:pPr>
        <w:rPr>
          <w:rFonts w:ascii="Times New Roman" w:hAnsi="Times New Roman" w:cs="Times New Roman"/>
          <w:sz w:val="24"/>
          <w:szCs w:val="24"/>
        </w:rPr>
      </w:pPr>
    </w:p>
    <w:sectPr w:rsidR="00D930EF" w:rsidRPr="00582BA4" w:rsidSect="00B3299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3E" w:rsidRDefault="003E213E" w:rsidP="001E1D9B">
      <w:pPr>
        <w:spacing w:after="0" w:line="240" w:lineRule="auto"/>
      </w:pPr>
      <w:r>
        <w:separator/>
      </w:r>
    </w:p>
  </w:endnote>
  <w:endnote w:type="continuationSeparator" w:id="0">
    <w:p w:rsidR="003E213E" w:rsidRDefault="003E213E" w:rsidP="001E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D" w:rsidRDefault="00FB32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976398"/>
      <w:docPartObj>
        <w:docPartGallery w:val="Page Numbers (Bottom of Page)"/>
        <w:docPartUnique/>
      </w:docPartObj>
    </w:sdtPr>
    <w:sdtContent>
      <w:sdt>
        <w:sdtPr>
          <w:id w:val="-1669238322"/>
          <w:docPartObj>
            <w:docPartGallery w:val="Page Numbers (Top of Page)"/>
            <w:docPartUnique/>
          </w:docPartObj>
        </w:sdtPr>
        <w:sdtContent>
          <w:p w:rsidR="00FB328D" w:rsidRDefault="00FB328D">
            <w:pPr>
              <w:pStyle w:val="Voettekst"/>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3DD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3DD1">
              <w:rPr>
                <w:b/>
                <w:bCs/>
                <w:noProof/>
              </w:rPr>
              <w:t>5</w:t>
            </w:r>
            <w:r>
              <w:rPr>
                <w:b/>
                <w:bCs/>
                <w:sz w:val="24"/>
                <w:szCs w:val="24"/>
              </w:rPr>
              <w:fldChar w:fldCharType="end"/>
            </w:r>
          </w:p>
        </w:sdtContent>
      </w:sdt>
    </w:sdtContent>
  </w:sdt>
  <w:p w:rsidR="00FB328D" w:rsidRDefault="00FB32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D" w:rsidRDefault="00FB32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3E" w:rsidRDefault="003E213E" w:rsidP="001E1D9B">
      <w:pPr>
        <w:spacing w:after="0" w:line="240" w:lineRule="auto"/>
      </w:pPr>
      <w:r>
        <w:separator/>
      </w:r>
    </w:p>
  </w:footnote>
  <w:footnote w:type="continuationSeparator" w:id="0">
    <w:p w:rsidR="003E213E" w:rsidRDefault="003E213E" w:rsidP="001E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D" w:rsidRDefault="00FB32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D" w:rsidRPr="00A249E0" w:rsidRDefault="00FB328D" w:rsidP="00A249E0">
    <w:pPr>
      <w:pStyle w:val="Koptekst"/>
      <w:jc w:val="right"/>
      <w:rPr>
        <w:b/>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8D" w:rsidRPr="001E1D9B" w:rsidRDefault="00FB328D" w:rsidP="00A249E0">
    <w:pPr>
      <w:pBdr>
        <w:top w:val="single" w:sz="4" w:space="1" w:color="auto"/>
        <w:left w:val="single" w:sz="4" w:space="4" w:color="auto"/>
        <w:bottom w:val="single" w:sz="4" w:space="1" w:color="auto"/>
        <w:right w:val="single" w:sz="4" w:space="0" w:color="auto"/>
      </w:pBdr>
      <w:tabs>
        <w:tab w:val="center" w:pos="4513"/>
        <w:tab w:val="right" w:pos="9026"/>
      </w:tabs>
      <w:spacing w:after="0" w:line="240" w:lineRule="auto"/>
      <w:ind w:right="7325"/>
      <w:rPr>
        <w:szCs w:val="24"/>
        <w:lang w:eastAsia="ja-JP"/>
      </w:rPr>
    </w:pPr>
    <w:r>
      <w:rPr>
        <w:rFonts w:ascii="Bernard MT Condensed" w:hAnsi="Bernard MT Condensed"/>
        <w:b/>
        <w:color w:val="1F497D" w:themeColor="text2"/>
        <w:sz w:val="56"/>
        <w:szCs w:val="56"/>
        <w:lang w:eastAsia="ja-JP"/>
      </w:rPr>
      <w:t xml:space="preserve"> </w:t>
    </w:r>
    <w:r w:rsidRPr="00A5718E">
      <w:rPr>
        <w:rFonts w:ascii="Bernard MT Condensed" w:hAnsi="Bernard MT Condensed"/>
        <w:b/>
        <w:color w:val="1F497D" w:themeColor="text2"/>
        <w:sz w:val="56"/>
        <w:szCs w:val="56"/>
        <w:lang w:eastAsia="ja-JP"/>
      </w:rPr>
      <w:t>LEI ROC</w:t>
    </w:r>
  </w:p>
  <w:p w:rsidR="00FB328D" w:rsidRDefault="00FB328D" w:rsidP="00A249E0">
    <w:pPr>
      <w:pStyle w:val="Koptekst"/>
    </w:pPr>
  </w:p>
  <w:p w:rsidR="00FB328D" w:rsidRDefault="00FB32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A34"/>
    <w:multiLevelType w:val="hybridMultilevel"/>
    <w:tmpl w:val="D5E683A4"/>
    <w:lvl w:ilvl="0" w:tplc="85BAAF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B45A2"/>
    <w:multiLevelType w:val="hybridMultilevel"/>
    <w:tmpl w:val="CBCE58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46303"/>
    <w:multiLevelType w:val="hybridMultilevel"/>
    <w:tmpl w:val="D0AAC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9C5"/>
    <w:multiLevelType w:val="hybridMultilevel"/>
    <w:tmpl w:val="FFCCDE62"/>
    <w:lvl w:ilvl="0" w:tplc="E22EB4E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71"/>
    <w:multiLevelType w:val="hybridMultilevel"/>
    <w:tmpl w:val="F22A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35954"/>
    <w:multiLevelType w:val="hybridMultilevel"/>
    <w:tmpl w:val="5422F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8284F"/>
    <w:multiLevelType w:val="hybridMultilevel"/>
    <w:tmpl w:val="96C8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F30A69"/>
    <w:multiLevelType w:val="hybridMultilevel"/>
    <w:tmpl w:val="AA88B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B24B2"/>
    <w:multiLevelType w:val="hybridMultilevel"/>
    <w:tmpl w:val="E5A8E2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E157B"/>
    <w:multiLevelType w:val="hybridMultilevel"/>
    <w:tmpl w:val="A772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B00F8"/>
    <w:multiLevelType w:val="hybridMultilevel"/>
    <w:tmpl w:val="F282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D04C6"/>
    <w:multiLevelType w:val="hybridMultilevel"/>
    <w:tmpl w:val="7D96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D5491"/>
    <w:multiLevelType w:val="hybridMultilevel"/>
    <w:tmpl w:val="0600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87652"/>
    <w:multiLevelType w:val="hybridMultilevel"/>
    <w:tmpl w:val="F454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611DB"/>
    <w:multiLevelType w:val="hybridMultilevel"/>
    <w:tmpl w:val="65A85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A427A"/>
    <w:multiLevelType w:val="hybridMultilevel"/>
    <w:tmpl w:val="0FA6D98C"/>
    <w:lvl w:ilvl="0" w:tplc="1A1AAEB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37FC9"/>
    <w:multiLevelType w:val="hybridMultilevel"/>
    <w:tmpl w:val="33408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3FCE"/>
    <w:multiLevelType w:val="hybridMultilevel"/>
    <w:tmpl w:val="1F52F27A"/>
    <w:lvl w:ilvl="0" w:tplc="0CA808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7000F"/>
    <w:multiLevelType w:val="hybridMultilevel"/>
    <w:tmpl w:val="819489E4"/>
    <w:lvl w:ilvl="0" w:tplc="36002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BB2605"/>
    <w:multiLevelType w:val="hybridMultilevel"/>
    <w:tmpl w:val="76B44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FA30F1"/>
    <w:multiLevelType w:val="hybridMultilevel"/>
    <w:tmpl w:val="AEEAF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48776A"/>
    <w:multiLevelType w:val="hybridMultilevel"/>
    <w:tmpl w:val="F0D25C2C"/>
    <w:lvl w:ilvl="0" w:tplc="0CA80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A117F"/>
    <w:multiLevelType w:val="hybridMultilevel"/>
    <w:tmpl w:val="7EAE7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50C5B"/>
    <w:multiLevelType w:val="hybridMultilevel"/>
    <w:tmpl w:val="FB2EC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07C3F"/>
    <w:multiLevelType w:val="hybridMultilevel"/>
    <w:tmpl w:val="E6C4783A"/>
    <w:lvl w:ilvl="0" w:tplc="035C4D0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20B2B"/>
    <w:multiLevelType w:val="hybridMultilevel"/>
    <w:tmpl w:val="3CC6D406"/>
    <w:lvl w:ilvl="0" w:tplc="08090011">
      <w:start w:val="1"/>
      <w:numFmt w:val="decimal"/>
      <w:lvlText w:val="%1)"/>
      <w:lvlJc w:val="left"/>
      <w:pPr>
        <w:ind w:left="17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F53EA"/>
    <w:multiLevelType w:val="hybridMultilevel"/>
    <w:tmpl w:val="7472C40E"/>
    <w:lvl w:ilvl="0" w:tplc="94283D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83504"/>
    <w:multiLevelType w:val="hybridMultilevel"/>
    <w:tmpl w:val="12989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107561"/>
    <w:multiLevelType w:val="hybridMultilevel"/>
    <w:tmpl w:val="AD9E0766"/>
    <w:lvl w:ilvl="0" w:tplc="04090001">
      <w:start w:val="1"/>
      <w:numFmt w:val="bullet"/>
      <w:lvlText w:val=""/>
      <w:lvlJc w:val="left"/>
      <w:pPr>
        <w:ind w:left="720" w:hanging="360"/>
      </w:pPr>
      <w:rPr>
        <w:rFonts w:ascii="Symbol" w:hAnsi="Symbol" w:hint="default"/>
      </w:rPr>
    </w:lvl>
    <w:lvl w:ilvl="1" w:tplc="9F8086D0">
      <w:numFmt w:val="bullet"/>
      <w:lvlText w:val="-"/>
      <w:lvlJc w:val="left"/>
      <w:pPr>
        <w:ind w:left="1860" w:hanging="78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9"/>
  </w:num>
  <w:num w:numId="4">
    <w:abstractNumId w:val="20"/>
  </w:num>
  <w:num w:numId="5">
    <w:abstractNumId w:val="23"/>
  </w:num>
  <w:num w:numId="6">
    <w:abstractNumId w:val="3"/>
  </w:num>
  <w:num w:numId="7">
    <w:abstractNumId w:val="15"/>
  </w:num>
  <w:num w:numId="8">
    <w:abstractNumId w:val="22"/>
  </w:num>
  <w:num w:numId="9">
    <w:abstractNumId w:val="7"/>
  </w:num>
  <w:num w:numId="10">
    <w:abstractNumId w:val="18"/>
  </w:num>
  <w:num w:numId="11">
    <w:abstractNumId w:val="28"/>
  </w:num>
  <w:num w:numId="12">
    <w:abstractNumId w:val="9"/>
  </w:num>
  <w:num w:numId="13">
    <w:abstractNumId w:val="5"/>
  </w:num>
  <w:num w:numId="14">
    <w:abstractNumId w:val="2"/>
  </w:num>
  <w:num w:numId="15">
    <w:abstractNumId w:val="16"/>
  </w:num>
  <w:num w:numId="16">
    <w:abstractNumId w:val="12"/>
  </w:num>
  <w:num w:numId="17">
    <w:abstractNumId w:val="4"/>
  </w:num>
  <w:num w:numId="18">
    <w:abstractNumId w:val="11"/>
  </w:num>
  <w:num w:numId="19">
    <w:abstractNumId w:val="0"/>
  </w:num>
  <w:num w:numId="20">
    <w:abstractNumId w:val="17"/>
  </w:num>
  <w:num w:numId="21">
    <w:abstractNumId w:val="24"/>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21"/>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9B"/>
    <w:rsid w:val="00012707"/>
    <w:rsid w:val="00013F6D"/>
    <w:rsid w:val="00014734"/>
    <w:rsid w:val="00016B20"/>
    <w:rsid w:val="000172CC"/>
    <w:rsid w:val="0002128B"/>
    <w:rsid w:val="00026DEC"/>
    <w:rsid w:val="00030C29"/>
    <w:rsid w:val="0003228B"/>
    <w:rsid w:val="0003283E"/>
    <w:rsid w:val="0003298C"/>
    <w:rsid w:val="000353A7"/>
    <w:rsid w:val="000377C7"/>
    <w:rsid w:val="00037C71"/>
    <w:rsid w:val="0004319A"/>
    <w:rsid w:val="00043FA1"/>
    <w:rsid w:val="00045442"/>
    <w:rsid w:val="0004737F"/>
    <w:rsid w:val="000524E1"/>
    <w:rsid w:val="00063BAE"/>
    <w:rsid w:val="000713DD"/>
    <w:rsid w:val="000739A6"/>
    <w:rsid w:val="00076A12"/>
    <w:rsid w:val="000866A4"/>
    <w:rsid w:val="00086E44"/>
    <w:rsid w:val="000878D4"/>
    <w:rsid w:val="00093926"/>
    <w:rsid w:val="000947D3"/>
    <w:rsid w:val="00096010"/>
    <w:rsid w:val="000975C1"/>
    <w:rsid w:val="000A41B7"/>
    <w:rsid w:val="000A72E9"/>
    <w:rsid w:val="000B406F"/>
    <w:rsid w:val="000B4996"/>
    <w:rsid w:val="000B502E"/>
    <w:rsid w:val="000C46C4"/>
    <w:rsid w:val="000C48B5"/>
    <w:rsid w:val="000C6C7C"/>
    <w:rsid w:val="000D1BC3"/>
    <w:rsid w:val="000D29A2"/>
    <w:rsid w:val="000D5132"/>
    <w:rsid w:val="000E0083"/>
    <w:rsid w:val="000E26F1"/>
    <w:rsid w:val="000E3017"/>
    <w:rsid w:val="000E3796"/>
    <w:rsid w:val="000F3A18"/>
    <w:rsid w:val="000F5F1E"/>
    <w:rsid w:val="000F6EE4"/>
    <w:rsid w:val="00103163"/>
    <w:rsid w:val="001117EF"/>
    <w:rsid w:val="0011182A"/>
    <w:rsid w:val="00116D3B"/>
    <w:rsid w:val="00124B26"/>
    <w:rsid w:val="0012682F"/>
    <w:rsid w:val="00141178"/>
    <w:rsid w:val="001417B8"/>
    <w:rsid w:val="00142854"/>
    <w:rsid w:val="0014295D"/>
    <w:rsid w:val="00152AF2"/>
    <w:rsid w:val="00161DFD"/>
    <w:rsid w:val="001635E2"/>
    <w:rsid w:val="00166098"/>
    <w:rsid w:val="001708F7"/>
    <w:rsid w:val="001732CC"/>
    <w:rsid w:val="00173E05"/>
    <w:rsid w:val="00173F78"/>
    <w:rsid w:val="0017603E"/>
    <w:rsid w:val="0017749B"/>
    <w:rsid w:val="00177DB3"/>
    <w:rsid w:val="00184F5B"/>
    <w:rsid w:val="001853D6"/>
    <w:rsid w:val="00191E60"/>
    <w:rsid w:val="001925A2"/>
    <w:rsid w:val="001958A7"/>
    <w:rsid w:val="00197E82"/>
    <w:rsid w:val="001A354E"/>
    <w:rsid w:val="001A3AC1"/>
    <w:rsid w:val="001A68D9"/>
    <w:rsid w:val="001A78F9"/>
    <w:rsid w:val="001C5388"/>
    <w:rsid w:val="001C6AB9"/>
    <w:rsid w:val="001D06E9"/>
    <w:rsid w:val="001D31E5"/>
    <w:rsid w:val="001D5621"/>
    <w:rsid w:val="001E1D9B"/>
    <w:rsid w:val="001E2D57"/>
    <w:rsid w:val="00200F2E"/>
    <w:rsid w:val="00202763"/>
    <w:rsid w:val="002065C6"/>
    <w:rsid w:val="0021268F"/>
    <w:rsid w:val="002135C4"/>
    <w:rsid w:val="002165AE"/>
    <w:rsid w:val="00217ECC"/>
    <w:rsid w:val="002221C6"/>
    <w:rsid w:val="00222AC1"/>
    <w:rsid w:val="00227E34"/>
    <w:rsid w:val="00231A63"/>
    <w:rsid w:val="002327F6"/>
    <w:rsid w:val="0023344E"/>
    <w:rsid w:val="002344BF"/>
    <w:rsid w:val="00236B0F"/>
    <w:rsid w:val="00240F22"/>
    <w:rsid w:val="0024532E"/>
    <w:rsid w:val="002457F8"/>
    <w:rsid w:val="00246022"/>
    <w:rsid w:val="00246482"/>
    <w:rsid w:val="00247370"/>
    <w:rsid w:val="00247EF8"/>
    <w:rsid w:val="002501ED"/>
    <w:rsid w:val="002509E9"/>
    <w:rsid w:val="0025338E"/>
    <w:rsid w:val="00254E7F"/>
    <w:rsid w:val="00260484"/>
    <w:rsid w:val="00262AC2"/>
    <w:rsid w:val="00263CA8"/>
    <w:rsid w:val="00265494"/>
    <w:rsid w:val="00265DC9"/>
    <w:rsid w:val="002731E0"/>
    <w:rsid w:val="00282830"/>
    <w:rsid w:val="00284470"/>
    <w:rsid w:val="002867A9"/>
    <w:rsid w:val="00290977"/>
    <w:rsid w:val="00293E36"/>
    <w:rsid w:val="00294FA4"/>
    <w:rsid w:val="00296E38"/>
    <w:rsid w:val="00297E67"/>
    <w:rsid w:val="002A0389"/>
    <w:rsid w:val="002A76AE"/>
    <w:rsid w:val="002B1446"/>
    <w:rsid w:val="002B5ED9"/>
    <w:rsid w:val="002B63E4"/>
    <w:rsid w:val="002C59B7"/>
    <w:rsid w:val="002D4847"/>
    <w:rsid w:val="002D74C1"/>
    <w:rsid w:val="002F0FE9"/>
    <w:rsid w:val="002F4C5D"/>
    <w:rsid w:val="002F5ED8"/>
    <w:rsid w:val="002F6DAB"/>
    <w:rsid w:val="0030644D"/>
    <w:rsid w:val="00332077"/>
    <w:rsid w:val="003325F6"/>
    <w:rsid w:val="0033432E"/>
    <w:rsid w:val="0033654F"/>
    <w:rsid w:val="00342325"/>
    <w:rsid w:val="00343949"/>
    <w:rsid w:val="00343A33"/>
    <w:rsid w:val="00343E8F"/>
    <w:rsid w:val="0034539C"/>
    <w:rsid w:val="00351777"/>
    <w:rsid w:val="0036181D"/>
    <w:rsid w:val="00362F31"/>
    <w:rsid w:val="003644A4"/>
    <w:rsid w:val="00365AD5"/>
    <w:rsid w:val="00370CDF"/>
    <w:rsid w:val="00376533"/>
    <w:rsid w:val="003765AD"/>
    <w:rsid w:val="00380BA8"/>
    <w:rsid w:val="00385B3D"/>
    <w:rsid w:val="00385CAF"/>
    <w:rsid w:val="00386388"/>
    <w:rsid w:val="003866FF"/>
    <w:rsid w:val="003902B1"/>
    <w:rsid w:val="003936DA"/>
    <w:rsid w:val="0039512D"/>
    <w:rsid w:val="003953CC"/>
    <w:rsid w:val="003958DB"/>
    <w:rsid w:val="003973BF"/>
    <w:rsid w:val="00397EE8"/>
    <w:rsid w:val="003A0B6B"/>
    <w:rsid w:val="003A0BEE"/>
    <w:rsid w:val="003A3AD8"/>
    <w:rsid w:val="003B48E0"/>
    <w:rsid w:val="003C019E"/>
    <w:rsid w:val="003C2474"/>
    <w:rsid w:val="003C3BEB"/>
    <w:rsid w:val="003C4789"/>
    <w:rsid w:val="003C5D1D"/>
    <w:rsid w:val="003C7ECB"/>
    <w:rsid w:val="003D5088"/>
    <w:rsid w:val="003D5C7C"/>
    <w:rsid w:val="003D6509"/>
    <w:rsid w:val="003E213E"/>
    <w:rsid w:val="003E21E4"/>
    <w:rsid w:val="003E3C02"/>
    <w:rsid w:val="003E7F90"/>
    <w:rsid w:val="003F2666"/>
    <w:rsid w:val="003F37F7"/>
    <w:rsid w:val="003F50FD"/>
    <w:rsid w:val="00406E3F"/>
    <w:rsid w:val="00407C52"/>
    <w:rsid w:val="00414A74"/>
    <w:rsid w:val="00415E6B"/>
    <w:rsid w:val="00420333"/>
    <w:rsid w:val="004216FD"/>
    <w:rsid w:val="004222EF"/>
    <w:rsid w:val="00427226"/>
    <w:rsid w:val="00435779"/>
    <w:rsid w:val="00441D07"/>
    <w:rsid w:val="004427C4"/>
    <w:rsid w:val="00450166"/>
    <w:rsid w:val="00452D6F"/>
    <w:rsid w:val="00456CE8"/>
    <w:rsid w:val="00460790"/>
    <w:rsid w:val="0046392E"/>
    <w:rsid w:val="00463CB1"/>
    <w:rsid w:val="00463F77"/>
    <w:rsid w:val="00470FCF"/>
    <w:rsid w:val="0047179D"/>
    <w:rsid w:val="00473155"/>
    <w:rsid w:val="0048094E"/>
    <w:rsid w:val="004835C9"/>
    <w:rsid w:val="0048493E"/>
    <w:rsid w:val="00485852"/>
    <w:rsid w:val="00487107"/>
    <w:rsid w:val="00487359"/>
    <w:rsid w:val="0049232E"/>
    <w:rsid w:val="004966F2"/>
    <w:rsid w:val="00496C33"/>
    <w:rsid w:val="00496D64"/>
    <w:rsid w:val="00497A77"/>
    <w:rsid w:val="004A4ED0"/>
    <w:rsid w:val="004B147F"/>
    <w:rsid w:val="004B4213"/>
    <w:rsid w:val="004B569B"/>
    <w:rsid w:val="004C1312"/>
    <w:rsid w:val="004C13B2"/>
    <w:rsid w:val="004C2A17"/>
    <w:rsid w:val="004C3969"/>
    <w:rsid w:val="004C5ED7"/>
    <w:rsid w:val="004C5F30"/>
    <w:rsid w:val="004C68D9"/>
    <w:rsid w:val="004C7995"/>
    <w:rsid w:val="004D0AB1"/>
    <w:rsid w:val="004D42E3"/>
    <w:rsid w:val="004D6042"/>
    <w:rsid w:val="004F601A"/>
    <w:rsid w:val="005010C6"/>
    <w:rsid w:val="00503DC0"/>
    <w:rsid w:val="00504340"/>
    <w:rsid w:val="00504963"/>
    <w:rsid w:val="00504E78"/>
    <w:rsid w:val="00511037"/>
    <w:rsid w:val="005117B8"/>
    <w:rsid w:val="00511812"/>
    <w:rsid w:val="00511E80"/>
    <w:rsid w:val="00516483"/>
    <w:rsid w:val="00521497"/>
    <w:rsid w:val="00532248"/>
    <w:rsid w:val="00532B97"/>
    <w:rsid w:val="00533DA7"/>
    <w:rsid w:val="00534BA2"/>
    <w:rsid w:val="0053737C"/>
    <w:rsid w:val="00543744"/>
    <w:rsid w:val="00545248"/>
    <w:rsid w:val="00546B68"/>
    <w:rsid w:val="005521BA"/>
    <w:rsid w:val="00552FAD"/>
    <w:rsid w:val="0055481B"/>
    <w:rsid w:val="00555099"/>
    <w:rsid w:val="00556BFD"/>
    <w:rsid w:val="0055717A"/>
    <w:rsid w:val="005600AC"/>
    <w:rsid w:val="0056118F"/>
    <w:rsid w:val="00561A50"/>
    <w:rsid w:val="00563BEE"/>
    <w:rsid w:val="00565375"/>
    <w:rsid w:val="00566FAA"/>
    <w:rsid w:val="005678D1"/>
    <w:rsid w:val="005714CC"/>
    <w:rsid w:val="005727C1"/>
    <w:rsid w:val="0057577F"/>
    <w:rsid w:val="00582BA4"/>
    <w:rsid w:val="005832D7"/>
    <w:rsid w:val="00584818"/>
    <w:rsid w:val="00584C86"/>
    <w:rsid w:val="00585678"/>
    <w:rsid w:val="00585C62"/>
    <w:rsid w:val="00593CF5"/>
    <w:rsid w:val="0059417A"/>
    <w:rsid w:val="00594645"/>
    <w:rsid w:val="00594751"/>
    <w:rsid w:val="0059511A"/>
    <w:rsid w:val="005A3E7B"/>
    <w:rsid w:val="005A6195"/>
    <w:rsid w:val="005B061C"/>
    <w:rsid w:val="005B3519"/>
    <w:rsid w:val="005B46B5"/>
    <w:rsid w:val="005C146F"/>
    <w:rsid w:val="005C1688"/>
    <w:rsid w:val="005C2F08"/>
    <w:rsid w:val="005C5C1A"/>
    <w:rsid w:val="005C5E9E"/>
    <w:rsid w:val="005D1F6B"/>
    <w:rsid w:val="005D261A"/>
    <w:rsid w:val="005D39DE"/>
    <w:rsid w:val="005D48A8"/>
    <w:rsid w:val="005D7200"/>
    <w:rsid w:val="005E5CA8"/>
    <w:rsid w:val="005E7633"/>
    <w:rsid w:val="005F59A6"/>
    <w:rsid w:val="005F77ED"/>
    <w:rsid w:val="0060334C"/>
    <w:rsid w:val="006038C7"/>
    <w:rsid w:val="00603E5B"/>
    <w:rsid w:val="00610373"/>
    <w:rsid w:val="00611243"/>
    <w:rsid w:val="00611932"/>
    <w:rsid w:val="00611B57"/>
    <w:rsid w:val="00615BC6"/>
    <w:rsid w:val="006220CA"/>
    <w:rsid w:val="006221BC"/>
    <w:rsid w:val="00622E6C"/>
    <w:rsid w:val="00623390"/>
    <w:rsid w:val="0062442E"/>
    <w:rsid w:val="00625989"/>
    <w:rsid w:val="0062692A"/>
    <w:rsid w:val="00626A24"/>
    <w:rsid w:val="00627C5E"/>
    <w:rsid w:val="00627CC4"/>
    <w:rsid w:val="00635A40"/>
    <w:rsid w:val="00636ED7"/>
    <w:rsid w:val="006379B6"/>
    <w:rsid w:val="00645C94"/>
    <w:rsid w:val="0064609E"/>
    <w:rsid w:val="006465A6"/>
    <w:rsid w:val="00646B11"/>
    <w:rsid w:val="00650ADA"/>
    <w:rsid w:val="0065119B"/>
    <w:rsid w:val="00651644"/>
    <w:rsid w:val="006517E8"/>
    <w:rsid w:val="0065343B"/>
    <w:rsid w:val="006544CC"/>
    <w:rsid w:val="00654AC2"/>
    <w:rsid w:val="006564B3"/>
    <w:rsid w:val="00656FA8"/>
    <w:rsid w:val="0066010B"/>
    <w:rsid w:val="00661AD6"/>
    <w:rsid w:val="006669DF"/>
    <w:rsid w:val="006676EF"/>
    <w:rsid w:val="00667BB9"/>
    <w:rsid w:val="00667C89"/>
    <w:rsid w:val="00675A70"/>
    <w:rsid w:val="00677B78"/>
    <w:rsid w:val="00682626"/>
    <w:rsid w:val="00683AD1"/>
    <w:rsid w:val="00687592"/>
    <w:rsid w:val="00690A99"/>
    <w:rsid w:val="00694CEA"/>
    <w:rsid w:val="00694EE6"/>
    <w:rsid w:val="00695A85"/>
    <w:rsid w:val="00696DA4"/>
    <w:rsid w:val="006A1F3E"/>
    <w:rsid w:val="006A4B15"/>
    <w:rsid w:val="006A60A2"/>
    <w:rsid w:val="006A65E9"/>
    <w:rsid w:val="006B02FA"/>
    <w:rsid w:val="006B28D2"/>
    <w:rsid w:val="006C2751"/>
    <w:rsid w:val="006C6FB2"/>
    <w:rsid w:val="006C6FF1"/>
    <w:rsid w:val="006E5BE9"/>
    <w:rsid w:val="006E7AEE"/>
    <w:rsid w:val="006F086A"/>
    <w:rsid w:val="006F1262"/>
    <w:rsid w:val="006F3222"/>
    <w:rsid w:val="00703B13"/>
    <w:rsid w:val="007042FE"/>
    <w:rsid w:val="00710941"/>
    <w:rsid w:val="00711340"/>
    <w:rsid w:val="00711669"/>
    <w:rsid w:val="00720CE7"/>
    <w:rsid w:val="007236A9"/>
    <w:rsid w:val="00724E6C"/>
    <w:rsid w:val="0072555E"/>
    <w:rsid w:val="00732407"/>
    <w:rsid w:val="00732EEF"/>
    <w:rsid w:val="00733807"/>
    <w:rsid w:val="00733F86"/>
    <w:rsid w:val="00734372"/>
    <w:rsid w:val="0073475C"/>
    <w:rsid w:val="00742CF4"/>
    <w:rsid w:val="00746845"/>
    <w:rsid w:val="00750880"/>
    <w:rsid w:val="00753BFC"/>
    <w:rsid w:val="00753D28"/>
    <w:rsid w:val="00755F20"/>
    <w:rsid w:val="00760B71"/>
    <w:rsid w:val="0076792F"/>
    <w:rsid w:val="00771767"/>
    <w:rsid w:val="00777DFA"/>
    <w:rsid w:val="00782A47"/>
    <w:rsid w:val="00784027"/>
    <w:rsid w:val="00784C46"/>
    <w:rsid w:val="00785ED1"/>
    <w:rsid w:val="00790382"/>
    <w:rsid w:val="00790DC3"/>
    <w:rsid w:val="007914E9"/>
    <w:rsid w:val="0079233C"/>
    <w:rsid w:val="007966B2"/>
    <w:rsid w:val="007A0F57"/>
    <w:rsid w:val="007A3EEA"/>
    <w:rsid w:val="007A4356"/>
    <w:rsid w:val="007B030C"/>
    <w:rsid w:val="007B3467"/>
    <w:rsid w:val="007B3A52"/>
    <w:rsid w:val="007C1101"/>
    <w:rsid w:val="007C28DE"/>
    <w:rsid w:val="007C4F3A"/>
    <w:rsid w:val="007C4F5F"/>
    <w:rsid w:val="007D4E43"/>
    <w:rsid w:val="007D54F7"/>
    <w:rsid w:val="007D5A38"/>
    <w:rsid w:val="007D62BF"/>
    <w:rsid w:val="007D748B"/>
    <w:rsid w:val="007E3FCD"/>
    <w:rsid w:val="007E72B7"/>
    <w:rsid w:val="007E778A"/>
    <w:rsid w:val="007F03E3"/>
    <w:rsid w:val="007F0D4E"/>
    <w:rsid w:val="00804E27"/>
    <w:rsid w:val="00807AE7"/>
    <w:rsid w:val="00814428"/>
    <w:rsid w:val="008152E6"/>
    <w:rsid w:val="00816800"/>
    <w:rsid w:val="00826BC7"/>
    <w:rsid w:val="00835225"/>
    <w:rsid w:val="008374DC"/>
    <w:rsid w:val="00841F96"/>
    <w:rsid w:val="00844F47"/>
    <w:rsid w:val="00845F64"/>
    <w:rsid w:val="00850D01"/>
    <w:rsid w:val="008544B9"/>
    <w:rsid w:val="0085568E"/>
    <w:rsid w:val="00855875"/>
    <w:rsid w:val="00855E4C"/>
    <w:rsid w:val="00857182"/>
    <w:rsid w:val="00864382"/>
    <w:rsid w:val="00867F6A"/>
    <w:rsid w:val="00872087"/>
    <w:rsid w:val="00880AA3"/>
    <w:rsid w:val="00881144"/>
    <w:rsid w:val="008843DD"/>
    <w:rsid w:val="0088516E"/>
    <w:rsid w:val="008969B3"/>
    <w:rsid w:val="00896C7E"/>
    <w:rsid w:val="008A04DB"/>
    <w:rsid w:val="008A48A7"/>
    <w:rsid w:val="008A7576"/>
    <w:rsid w:val="008B0D0C"/>
    <w:rsid w:val="008B1EB3"/>
    <w:rsid w:val="008B37A9"/>
    <w:rsid w:val="008B5E0B"/>
    <w:rsid w:val="008C4D8C"/>
    <w:rsid w:val="008D453C"/>
    <w:rsid w:val="008D7F5A"/>
    <w:rsid w:val="008E02D0"/>
    <w:rsid w:val="008E05D3"/>
    <w:rsid w:val="008E06EC"/>
    <w:rsid w:val="008E1380"/>
    <w:rsid w:val="008E1F5A"/>
    <w:rsid w:val="008E2451"/>
    <w:rsid w:val="008F1743"/>
    <w:rsid w:val="008F6A10"/>
    <w:rsid w:val="008F7E13"/>
    <w:rsid w:val="0090159A"/>
    <w:rsid w:val="00904ADC"/>
    <w:rsid w:val="00905BB6"/>
    <w:rsid w:val="00907606"/>
    <w:rsid w:val="00910D30"/>
    <w:rsid w:val="00911514"/>
    <w:rsid w:val="009119FD"/>
    <w:rsid w:val="00911D48"/>
    <w:rsid w:val="0091512F"/>
    <w:rsid w:val="00920DFD"/>
    <w:rsid w:val="0092103D"/>
    <w:rsid w:val="00923DD1"/>
    <w:rsid w:val="00924478"/>
    <w:rsid w:val="0093097D"/>
    <w:rsid w:val="009409C5"/>
    <w:rsid w:val="009425F2"/>
    <w:rsid w:val="00942C5E"/>
    <w:rsid w:val="00943829"/>
    <w:rsid w:val="00953A81"/>
    <w:rsid w:val="009550C3"/>
    <w:rsid w:val="00956B08"/>
    <w:rsid w:val="0095701B"/>
    <w:rsid w:val="0096028A"/>
    <w:rsid w:val="00965E66"/>
    <w:rsid w:val="00966344"/>
    <w:rsid w:val="00966F45"/>
    <w:rsid w:val="0096737B"/>
    <w:rsid w:val="00967CFF"/>
    <w:rsid w:val="00970F42"/>
    <w:rsid w:val="009749ED"/>
    <w:rsid w:val="00976BB5"/>
    <w:rsid w:val="00981728"/>
    <w:rsid w:val="009823A2"/>
    <w:rsid w:val="00983DD4"/>
    <w:rsid w:val="009845B6"/>
    <w:rsid w:val="00987063"/>
    <w:rsid w:val="009903BF"/>
    <w:rsid w:val="0099380D"/>
    <w:rsid w:val="00997CB8"/>
    <w:rsid w:val="009A18D6"/>
    <w:rsid w:val="009A29F5"/>
    <w:rsid w:val="009A741F"/>
    <w:rsid w:val="009A787A"/>
    <w:rsid w:val="009B158D"/>
    <w:rsid w:val="009B1EFB"/>
    <w:rsid w:val="009B2094"/>
    <w:rsid w:val="009B2972"/>
    <w:rsid w:val="009B4E20"/>
    <w:rsid w:val="009C25F9"/>
    <w:rsid w:val="009C5869"/>
    <w:rsid w:val="009D184C"/>
    <w:rsid w:val="009D2084"/>
    <w:rsid w:val="009D4CB7"/>
    <w:rsid w:val="009D77A7"/>
    <w:rsid w:val="009D7BC0"/>
    <w:rsid w:val="009E36B4"/>
    <w:rsid w:val="009E3CAC"/>
    <w:rsid w:val="009E76BB"/>
    <w:rsid w:val="009F184E"/>
    <w:rsid w:val="009F418D"/>
    <w:rsid w:val="009F5605"/>
    <w:rsid w:val="009F6F93"/>
    <w:rsid w:val="009F7931"/>
    <w:rsid w:val="00A04D9E"/>
    <w:rsid w:val="00A04FFA"/>
    <w:rsid w:val="00A05078"/>
    <w:rsid w:val="00A05541"/>
    <w:rsid w:val="00A14549"/>
    <w:rsid w:val="00A20847"/>
    <w:rsid w:val="00A249E0"/>
    <w:rsid w:val="00A27F5F"/>
    <w:rsid w:val="00A3062C"/>
    <w:rsid w:val="00A31A33"/>
    <w:rsid w:val="00A367D5"/>
    <w:rsid w:val="00A470EA"/>
    <w:rsid w:val="00A523D6"/>
    <w:rsid w:val="00A548DE"/>
    <w:rsid w:val="00A63B85"/>
    <w:rsid w:val="00A6528F"/>
    <w:rsid w:val="00A73AA0"/>
    <w:rsid w:val="00A76E8A"/>
    <w:rsid w:val="00A93496"/>
    <w:rsid w:val="00A94C98"/>
    <w:rsid w:val="00AA1208"/>
    <w:rsid w:val="00AA3C5F"/>
    <w:rsid w:val="00AA434F"/>
    <w:rsid w:val="00AB030C"/>
    <w:rsid w:val="00AB3034"/>
    <w:rsid w:val="00AB3EB8"/>
    <w:rsid w:val="00AB582F"/>
    <w:rsid w:val="00AB6139"/>
    <w:rsid w:val="00AC29D3"/>
    <w:rsid w:val="00AC384D"/>
    <w:rsid w:val="00AD0848"/>
    <w:rsid w:val="00AD769C"/>
    <w:rsid w:val="00AE049D"/>
    <w:rsid w:val="00AE09C7"/>
    <w:rsid w:val="00AE3511"/>
    <w:rsid w:val="00AE4AC4"/>
    <w:rsid w:val="00AE7DF0"/>
    <w:rsid w:val="00AF0070"/>
    <w:rsid w:val="00AF10FC"/>
    <w:rsid w:val="00AF7036"/>
    <w:rsid w:val="00B00D54"/>
    <w:rsid w:val="00B06FB4"/>
    <w:rsid w:val="00B105B2"/>
    <w:rsid w:val="00B11560"/>
    <w:rsid w:val="00B12AD5"/>
    <w:rsid w:val="00B22036"/>
    <w:rsid w:val="00B247A9"/>
    <w:rsid w:val="00B308F3"/>
    <w:rsid w:val="00B32991"/>
    <w:rsid w:val="00B34226"/>
    <w:rsid w:val="00B43A89"/>
    <w:rsid w:val="00B44EAD"/>
    <w:rsid w:val="00B65F28"/>
    <w:rsid w:val="00B67A59"/>
    <w:rsid w:val="00B72525"/>
    <w:rsid w:val="00B73FDD"/>
    <w:rsid w:val="00B8335E"/>
    <w:rsid w:val="00B84482"/>
    <w:rsid w:val="00B941C4"/>
    <w:rsid w:val="00B95AC1"/>
    <w:rsid w:val="00B978A7"/>
    <w:rsid w:val="00BA269C"/>
    <w:rsid w:val="00BA6451"/>
    <w:rsid w:val="00BA7253"/>
    <w:rsid w:val="00BA7737"/>
    <w:rsid w:val="00BB7259"/>
    <w:rsid w:val="00BB7A99"/>
    <w:rsid w:val="00BC30B9"/>
    <w:rsid w:val="00BC3F9A"/>
    <w:rsid w:val="00BD3605"/>
    <w:rsid w:val="00BD6261"/>
    <w:rsid w:val="00BD77E9"/>
    <w:rsid w:val="00BE3BAA"/>
    <w:rsid w:val="00BF03DA"/>
    <w:rsid w:val="00BF1D3A"/>
    <w:rsid w:val="00BF3054"/>
    <w:rsid w:val="00BF5DF7"/>
    <w:rsid w:val="00C05E5C"/>
    <w:rsid w:val="00C06CA1"/>
    <w:rsid w:val="00C25983"/>
    <w:rsid w:val="00C27E7F"/>
    <w:rsid w:val="00C32C2B"/>
    <w:rsid w:val="00C335B5"/>
    <w:rsid w:val="00C33CAB"/>
    <w:rsid w:val="00C35202"/>
    <w:rsid w:val="00C36476"/>
    <w:rsid w:val="00C41B0F"/>
    <w:rsid w:val="00C41D44"/>
    <w:rsid w:val="00C47D3A"/>
    <w:rsid w:val="00C53924"/>
    <w:rsid w:val="00C64BA0"/>
    <w:rsid w:val="00C65498"/>
    <w:rsid w:val="00C67BB1"/>
    <w:rsid w:val="00C70BE6"/>
    <w:rsid w:val="00C7470A"/>
    <w:rsid w:val="00C74A72"/>
    <w:rsid w:val="00C74CC0"/>
    <w:rsid w:val="00C76447"/>
    <w:rsid w:val="00C767AB"/>
    <w:rsid w:val="00C8016B"/>
    <w:rsid w:val="00C82CEB"/>
    <w:rsid w:val="00C8481C"/>
    <w:rsid w:val="00C8660B"/>
    <w:rsid w:val="00C90DD4"/>
    <w:rsid w:val="00C9122D"/>
    <w:rsid w:val="00CA18B8"/>
    <w:rsid w:val="00CA5747"/>
    <w:rsid w:val="00CA70FD"/>
    <w:rsid w:val="00CB337C"/>
    <w:rsid w:val="00CB3A82"/>
    <w:rsid w:val="00CB5FEE"/>
    <w:rsid w:val="00CB67B5"/>
    <w:rsid w:val="00CC4305"/>
    <w:rsid w:val="00CD6062"/>
    <w:rsid w:val="00CE2E02"/>
    <w:rsid w:val="00CE4593"/>
    <w:rsid w:val="00CE53E6"/>
    <w:rsid w:val="00CE5888"/>
    <w:rsid w:val="00CF2515"/>
    <w:rsid w:val="00CF2E8A"/>
    <w:rsid w:val="00CF3D06"/>
    <w:rsid w:val="00CF49BD"/>
    <w:rsid w:val="00CF5DFC"/>
    <w:rsid w:val="00CF7C36"/>
    <w:rsid w:val="00CF7CBF"/>
    <w:rsid w:val="00D02D16"/>
    <w:rsid w:val="00D041E4"/>
    <w:rsid w:val="00D04685"/>
    <w:rsid w:val="00D04BE6"/>
    <w:rsid w:val="00D071DE"/>
    <w:rsid w:val="00D10C4F"/>
    <w:rsid w:val="00D14B53"/>
    <w:rsid w:val="00D15472"/>
    <w:rsid w:val="00D16FCF"/>
    <w:rsid w:val="00D20E0D"/>
    <w:rsid w:val="00D233A3"/>
    <w:rsid w:val="00D33CB1"/>
    <w:rsid w:val="00D34F3F"/>
    <w:rsid w:val="00D3530A"/>
    <w:rsid w:val="00D36894"/>
    <w:rsid w:val="00D37A78"/>
    <w:rsid w:val="00D40177"/>
    <w:rsid w:val="00D446BA"/>
    <w:rsid w:val="00D501AE"/>
    <w:rsid w:val="00D51812"/>
    <w:rsid w:val="00D5316C"/>
    <w:rsid w:val="00D54173"/>
    <w:rsid w:val="00D54468"/>
    <w:rsid w:val="00D5474C"/>
    <w:rsid w:val="00D6095E"/>
    <w:rsid w:val="00D60C45"/>
    <w:rsid w:val="00D6257D"/>
    <w:rsid w:val="00D63E00"/>
    <w:rsid w:val="00D71D62"/>
    <w:rsid w:val="00D753D5"/>
    <w:rsid w:val="00D80B48"/>
    <w:rsid w:val="00D90FA0"/>
    <w:rsid w:val="00D91A96"/>
    <w:rsid w:val="00D930EF"/>
    <w:rsid w:val="00D94D6E"/>
    <w:rsid w:val="00D96771"/>
    <w:rsid w:val="00D96ABB"/>
    <w:rsid w:val="00DA686A"/>
    <w:rsid w:val="00DB203E"/>
    <w:rsid w:val="00DB42F2"/>
    <w:rsid w:val="00DB4448"/>
    <w:rsid w:val="00DB44CB"/>
    <w:rsid w:val="00DC14B1"/>
    <w:rsid w:val="00DC1F91"/>
    <w:rsid w:val="00DC41CD"/>
    <w:rsid w:val="00DC4A9B"/>
    <w:rsid w:val="00DC557E"/>
    <w:rsid w:val="00DE4F51"/>
    <w:rsid w:val="00DE57F4"/>
    <w:rsid w:val="00E0168F"/>
    <w:rsid w:val="00E021F2"/>
    <w:rsid w:val="00E030DF"/>
    <w:rsid w:val="00E0377D"/>
    <w:rsid w:val="00E04AA1"/>
    <w:rsid w:val="00E053FF"/>
    <w:rsid w:val="00E05A6D"/>
    <w:rsid w:val="00E05FF4"/>
    <w:rsid w:val="00E06CCE"/>
    <w:rsid w:val="00E1047C"/>
    <w:rsid w:val="00E124B5"/>
    <w:rsid w:val="00E127C5"/>
    <w:rsid w:val="00E13B5B"/>
    <w:rsid w:val="00E15DA5"/>
    <w:rsid w:val="00E166FE"/>
    <w:rsid w:val="00E17C37"/>
    <w:rsid w:val="00E20F34"/>
    <w:rsid w:val="00E21B4E"/>
    <w:rsid w:val="00E2777D"/>
    <w:rsid w:val="00E317D4"/>
    <w:rsid w:val="00E32B1B"/>
    <w:rsid w:val="00E32BAE"/>
    <w:rsid w:val="00E4023C"/>
    <w:rsid w:val="00E43B72"/>
    <w:rsid w:val="00E45C3B"/>
    <w:rsid w:val="00E478C7"/>
    <w:rsid w:val="00E55F32"/>
    <w:rsid w:val="00E57810"/>
    <w:rsid w:val="00E62ED3"/>
    <w:rsid w:val="00E64A56"/>
    <w:rsid w:val="00E65086"/>
    <w:rsid w:val="00E6771A"/>
    <w:rsid w:val="00E71061"/>
    <w:rsid w:val="00E731D7"/>
    <w:rsid w:val="00E74773"/>
    <w:rsid w:val="00E818BC"/>
    <w:rsid w:val="00E8291C"/>
    <w:rsid w:val="00E86AEA"/>
    <w:rsid w:val="00E879B6"/>
    <w:rsid w:val="00E87BFA"/>
    <w:rsid w:val="00E90B14"/>
    <w:rsid w:val="00E91D82"/>
    <w:rsid w:val="00EA0669"/>
    <w:rsid w:val="00EA1EAD"/>
    <w:rsid w:val="00EB04EF"/>
    <w:rsid w:val="00EB1855"/>
    <w:rsid w:val="00EB6A62"/>
    <w:rsid w:val="00EC0F5C"/>
    <w:rsid w:val="00EC4520"/>
    <w:rsid w:val="00EC62DC"/>
    <w:rsid w:val="00ED04F8"/>
    <w:rsid w:val="00ED17CE"/>
    <w:rsid w:val="00EE290F"/>
    <w:rsid w:val="00EF0646"/>
    <w:rsid w:val="00EF30DE"/>
    <w:rsid w:val="00F00DBF"/>
    <w:rsid w:val="00F01CBA"/>
    <w:rsid w:val="00F0210E"/>
    <w:rsid w:val="00F02D0D"/>
    <w:rsid w:val="00F02ED9"/>
    <w:rsid w:val="00F072F6"/>
    <w:rsid w:val="00F11492"/>
    <w:rsid w:val="00F1232F"/>
    <w:rsid w:val="00F15EDE"/>
    <w:rsid w:val="00F212D4"/>
    <w:rsid w:val="00F25B8F"/>
    <w:rsid w:val="00F26EF8"/>
    <w:rsid w:val="00F30D68"/>
    <w:rsid w:val="00F36408"/>
    <w:rsid w:val="00F43D90"/>
    <w:rsid w:val="00F45597"/>
    <w:rsid w:val="00F52D12"/>
    <w:rsid w:val="00F53E8F"/>
    <w:rsid w:val="00F5544D"/>
    <w:rsid w:val="00F56B5F"/>
    <w:rsid w:val="00F6076C"/>
    <w:rsid w:val="00F632AA"/>
    <w:rsid w:val="00F77537"/>
    <w:rsid w:val="00F82929"/>
    <w:rsid w:val="00F831EA"/>
    <w:rsid w:val="00F843AB"/>
    <w:rsid w:val="00F84C93"/>
    <w:rsid w:val="00F851B5"/>
    <w:rsid w:val="00F8543A"/>
    <w:rsid w:val="00F918BE"/>
    <w:rsid w:val="00F94F9F"/>
    <w:rsid w:val="00F9660F"/>
    <w:rsid w:val="00FA2F8A"/>
    <w:rsid w:val="00FA47E7"/>
    <w:rsid w:val="00FB0607"/>
    <w:rsid w:val="00FB0F09"/>
    <w:rsid w:val="00FB1393"/>
    <w:rsid w:val="00FB328D"/>
    <w:rsid w:val="00FB4DCB"/>
    <w:rsid w:val="00FC2487"/>
    <w:rsid w:val="00FC35D7"/>
    <w:rsid w:val="00FC71E4"/>
    <w:rsid w:val="00FD1269"/>
    <w:rsid w:val="00FE1682"/>
    <w:rsid w:val="00FE6845"/>
    <w:rsid w:val="00FF4078"/>
    <w:rsid w:val="00FF5E4B"/>
    <w:rsid w:val="00FF6DB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CBCE"/>
  <w15:docId w15:val="{7F6D502D-4402-49BE-BB26-786689C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1D9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D9B"/>
  </w:style>
  <w:style w:type="paragraph" w:styleId="Voettekst">
    <w:name w:val="footer"/>
    <w:basedOn w:val="Standaard"/>
    <w:link w:val="VoettekstChar"/>
    <w:uiPriority w:val="99"/>
    <w:unhideWhenUsed/>
    <w:rsid w:val="001E1D9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D9B"/>
  </w:style>
  <w:style w:type="paragraph" w:styleId="Ballontekst">
    <w:name w:val="Balloon Text"/>
    <w:basedOn w:val="Standaard"/>
    <w:link w:val="BallontekstChar"/>
    <w:uiPriority w:val="99"/>
    <w:semiHidden/>
    <w:unhideWhenUsed/>
    <w:rsid w:val="001E1D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D9B"/>
    <w:rPr>
      <w:rFonts w:ascii="Tahoma" w:hAnsi="Tahoma" w:cs="Tahoma"/>
      <w:sz w:val="16"/>
      <w:szCs w:val="16"/>
    </w:rPr>
  </w:style>
  <w:style w:type="paragraph" w:customStyle="1" w:styleId="ReportTitle">
    <w:name w:val="ReportTitle"/>
    <w:basedOn w:val="Standaard"/>
    <w:next w:val="Standaard"/>
    <w:rsid w:val="00BF1D3A"/>
    <w:pPr>
      <w:spacing w:after="600" w:line="300" w:lineRule="exact"/>
      <w:jc w:val="center"/>
    </w:pPr>
    <w:rPr>
      <w:rFonts w:ascii="Times New Roman" w:eastAsia="Times New Roman" w:hAnsi="Times New Roman" w:cs="Times New Roman"/>
      <w:b/>
      <w:sz w:val="32"/>
      <w:szCs w:val="32"/>
      <w:lang w:val="en-GB"/>
    </w:rPr>
  </w:style>
  <w:style w:type="table" w:styleId="Tabelraster">
    <w:name w:val="Table Grid"/>
    <w:basedOn w:val="Standaardtabel"/>
    <w:rsid w:val="00BF1D3A"/>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1D3A"/>
    <w:pPr>
      <w:ind w:left="720"/>
      <w:contextualSpacing/>
    </w:pPr>
  </w:style>
  <w:style w:type="character" w:styleId="Verwijzingopmerking">
    <w:name w:val="annotation reference"/>
    <w:basedOn w:val="Standaardalinea-lettertype"/>
    <w:uiPriority w:val="99"/>
    <w:semiHidden/>
    <w:unhideWhenUsed/>
    <w:rsid w:val="00F43D90"/>
    <w:rPr>
      <w:sz w:val="16"/>
      <w:szCs w:val="16"/>
    </w:rPr>
  </w:style>
  <w:style w:type="paragraph" w:styleId="Tekstopmerking">
    <w:name w:val="annotation text"/>
    <w:basedOn w:val="Standaard"/>
    <w:link w:val="TekstopmerkingChar"/>
    <w:uiPriority w:val="99"/>
    <w:semiHidden/>
    <w:unhideWhenUsed/>
    <w:rsid w:val="00F43D90"/>
    <w:pPr>
      <w:spacing w:after="160" w:line="240" w:lineRule="auto"/>
    </w:pPr>
    <w:rPr>
      <w:rFonts w:eastAsiaTheme="minorEastAsia"/>
      <w:sz w:val="20"/>
      <w:szCs w:val="20"/>
      <w:lang w:val="es-MX"/>
    </w:rPr>
  </w:style>
  <w:style w:type="character" w:customStyle="1" w:styleId="TekstopmerkingChar">
    <w:name w:val="Tekst opmerking Char"/>
    <w:basedOn w:val="Standaardalinea-lettertype"/>
    <w:link w:val="Tekstopmerking"/>
    <w:uiPriority w:val="99"/>
    <w:semiHidden/>
    <w:rsid w:val="00F43D90"/>
    <w:rPr>
      <w:rFonts w:eastAsiaTheme="minorEastAsia"/>
      <w:sz w:val="20"/>
      <w:szCs w:val="20"/>
      <w:lang w:val="es-MX"/>
    </w:rPr>
  </w:style>
  <w:style w:type="paragraph" w:styleId="Onderwerpvanopmerking">
    <w:name w:val="annotation subject"/>
    <w:basedOn w:val="Tekstopmerking"/>
    <w:next w:val="Tekstopmerking"/>
    <w:link w:val="OnderwerpvanopmerkingChar"/>
    <w:uiPriority w:val="99"/>
    <w:semiHidden/>
    <w:unhideWhenUsed/>
    <w:rsid w:val="009A741F"/>
    <w:pPr>
      <w:spacing w:after="200"/>
    </w:pPr>
    <w:rPr>
      <w:rFonts w:eastAsiaTheme="minorHAnsi"/>
      <w:b/>
      <w:bCs/>
      <w:lang w:val="en-US"/>
    </w:rPr>
  </w:style>
  <w:style w:type="character" w:customStyle="1" w:styleId="OnderwerpvanopmerkingChar">
    <w:name w:val="Onderwerp van opmerking Char"/>
    <w:basedOn w:val="TekstopmerkingChar"/>
    <w:link w:val="Onderwerpvanopmerking"/>
    <w:uiPriority w:val="99"/>
    <w:semiHidden/>
    <w:rsid w:val="009A741F"/>
    <w:rPr>
      <w:rFonts w:eastAsiaTheme="minorEastAsia"/>
      <w:b/>
      <w:bCs/>
      <w:sz w:val="20"/>
      <w:szCs w:val="20"/>
      <w:lang w:val="es-MX"/>
    </w:rPr>
  </w:style>
  <w:style w:type="paragraph" w:styleId="Voetnoottekst">
    <w:name w:val="footnote text"/>
    <w:basedOn w:val="Standaard"/>
    <w:link w:val="VoetnoottekstChar"/>
    <w:uiPriority w:val="99"/>
    <w:semiHidden/>
    <w:unhideWhenUsed/>
    <w:rsid w:val="00C259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5983"/>
    <w:rPr>
      <w:sz w:val="20"/>
      <w:szCs w:val="20"/>
    </w:rPr>
  </w:style>
  <w:style w:type="character" w:styleId="Voetnootmarkering">
    <w:name w:val="footnote reference"/>
    <w:basedOn w:val="Standaardalinea-lettertype"/>
    <w:uiPriority w:val="99"/>
    <w:semiHidden/>
    <w:unhideWhenUsed/>
    <w:rsid w:val="00C25983"/>
    <w:rPr>
      <w:vertAlign w:val="superscript"/>
    </w:rPr>
  </w:style>
  <w:style w:type="character" w:styleId="Hyperlink">
    <w:name w:val="Hyperlink"/>
    <w:basedOn w:val="Standaardalinea-lettertype"/>
    <w:uiPriority w:val="99"/>
    <w:unhideWhenUsed/>
    <w:rsid w:val="00C25983"/>
    <w:rPr>
      <w:color w:val="0000FF" w:themeColor="hyperlink"/>
      <w:u w:val="single"/>
    </w:rPr>
  </w:style>
  <w:style w:type="character" w:styleId="GevolgdeHyperlink">
    <w:name w:val="FollowedHyperlink"/>
    <w:basedOn w:val="Standaardalinea-lettertype"/>
    <w:uiPriority w:val="99"/>
    <w:semiHidden/>
    <w:unhideWhenUsed/>
    <w:rsid w:val="00C25983"/>
    <w:rPr>
      <w:color w:val="800080" w:themeColor="followedHyperlink"/>
      <w:u w:val="single"/>
    </w:rPr>
  </w:style>
  <w:style w:type="paragraph" w:customStyle="1" w:styleId="Default">
    <w:name w:val="Default"/>
    <w:rsid w:val="00B7252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e">
    <w:name w:val="Revision"/>
    <w:hidden/>
    <w:uiPriority w:val="99"/>
    <w:semiHidden/>
    <w:rsid w:val="00E06CCE"/>
    <w:pPr>
      <w:spacing w:after="0" w:line="240" w:lineRule="auto"/>
    </w:pPr>
  </w:style>
  <w:style w:type="character" w:customStyle="1" w:styleId="apple-tab-span">
    <w:name w:val="apple-tab-span"/>
    <w:basedOn w:val="Standaardalinea-lettertype"/>
    <w:rsid w:val="00D9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08573">
      <w:bodyDiv w:val="1"/>
      <w:marLeft w:val="0"/>
      <w:marRight w:val="0"/>
      <w:marTop w:val="0"/>
      <w:marBottom w:val="0"/>
      <w:divBdr>
        <w:top w:val="none" w:sz="0" w:space="0" w:color="auto"/>
        <w:left w:val="none" w:sz="0" w:space="0" w:color="auto"/>
        <w:bottom w:val="none" w:sz="0" w:space="0" w:color="auto"/>
        <w:right w:val="none" w:sz="0" w:space="0" w:color="auto"/>
      </w:divBdr>
    </w:div>
    <w:div w:id="768551889">
      <w:bodyDiv w:val="1"/>
      <w:marLeft w:val="0"/>
      <w:marRight w:val="0"/>
      <w:marTop w:val="0"/>
      <w:marBottom w:val="0"/>
      <w:divBdr>
        <w:top w:val="none" w:sz="0" w:space="0" w:color="auto"/>
        <w:left w:val="none" w:sz="0" w:space="0" w:color="auto"/>
        <w:bottom w:val="none" w:sz="0" w:space="0" w:color="auto"/>
        <w:right w:val="none" w:sz="0" w:space="0" w:color="auto"/>
      </w:divBdr>
    </w:div>
    <w:div w:id="1046835240">
      <w:bodyDiv w:val="1"/>
      <w:marLeft w:val="0"/>
      <w:marRight w:val="0"/>
      <w:marTop w:val="0"/>
      <w:marBottom w:val="0"/>
      <w:divBdr>
        <w:top w:val="none" w:sz="0" w:space="0" w:color="auto"/>
        <w:left w:val="none" w:sz="0" w:space="0" w:color="auto"/>
        <w:bottom w:val="none" w:sz="0" w:space="0" w:color="auto"/>
        <w:right w:val="none" w:sz="0" w:space="0" w:color="auto"/>
      </w:divBdr>
    </w:div>
    <w:div w:id="19831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0990-04B3-4627-944E-B17CDD1E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4577</TotalTime>
  <Pages>1</Pages>
  <Words>1841</Words>
  <Characters>10126</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Banco de México</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Consultation</dc:subject>
  <dc:creator>LEI ROC</dc:creator>
  <cp:keywords>Corporate actions and data history</cp:keywords>
  <cp:lastModifiedBy>Johan</cp:lastModifiedBy>
  <cp:revision>10</cp:revision>
  <cp:lastPrinted>2017-07-21T16:13:00Z</cp:lastPrinted>
  <dcterms:created xsi:type="dcterms:W3CDTF">2017-08-17T15:06:00Z</dcterms:created>
  <dcterms:modified xsi:type="dcterms:W3CDTF">2017-09-26T09:04:00Z</dcterms:modified>
</cp:coreProperties>
</file>